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7047230" cy="4149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149090"/>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REILLEY DENNIS H</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1940 AIR PRODUCTS BLVD.</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Air Products &amp; Chemicals,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APD</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5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06/30/2026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8" w:lineRule="exact"/>
        <w:rPr>
          <w:sz w:val="24"/>
          <w:szCs w:val="24"/>
          <w:color w:val="auto"/>
        </w:rPr>
      </w:pPr>
    </w:p>
    <w:p>
      <w:pPr>
        <w:sectPr>
          <w:pgSz w:w="11900" w:h="16838" w:orient="portrait"/>
          <w:cols w:equalWidth="0" w:num="3">
            <w:col w:w="3200" w:space="720"/>
            <w:col w:w="3180" w:space="644"/>
            <w:col w:w="3336"/>
          </w:cols>
          <w:pgMar w:left="460" w:top="216" w:right="359" w:bottom="1440" w:gutter="0" w:footer="0" w:header="0"/>
          <w:type w:val="continuous"/>
        </w:sectPr>
      </w:pPr>
    </w:p>
    <w:p>
      <w:pPr>
        <w:spacing w:after="0" w:line="230"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ALLENTOWN</w:t>
            </w:r>
          </w:p>
        </w:tc>
        <w:tc>
          <w:tcPr>
            <w:tcW w:w="9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PA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18106-5500</w:t>
            </w:r>
          </w:p>
        </w:tc>
      </w:tr>
      <w:tr>
        <w:trPr>
          <w:trHeight w:val="146"/>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5"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24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Derivative</w:t>
            </w:r>
          </w:p>
        </w:tc>
        <w:tc>
          <w:tcPr>
            <w:tcW w:w="22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Securities</w:t>
            </w:r>
          </w:p>
        </w:tc>
        <w:tc>
          <w:tcPr>
            <w:tcW w:w="22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520" w:type="dxa"/>
            <w:vAlign w:val="bottom"/>
            <w:vMerge w:val="restart"/>
          </w:tcPr>
          <w:p>
            <w:pPr>
              <w:ind w:left="120"/>
              <w:spacing w:after="0"/>
              <w:rPr>
                <w:sz w:val="20"/>
                <w:szCs w:val="20"/>
                <w:color w:val="auto"/>
              </w:rPr>
            </w:pPr>
            <w:r>
              <w:rPr>
                <w:rFonts w:ascii="Arial" w:cs="Arial" w:eastAsia="Arial" w:hAnsi="Arial"/>
                <w:sz w:val="11"/>
                <w:szCs w:val="11"/>
                <w:color w:val="auto"/>
                <w:w w:val="97"/>
              </w:rPr>
              <w:t>$</w:t>
            </w:r>
            <w:r>
              <w:rPr>
                <w:rFonts w:ascii="Times New Roman" w:cs="Times New Roman" w:eastAsia="Times New Roman" w:hAnsi="Times New Roman"/>
                <w:sz w:val="12"/>
                <w:szCs w:val="12"/>
                <w:color w:val="0000FF"/>
                <w:w w:val="97"/>
              </w:rPr>
              <w:t>0.0000</w:t>
            </w:r>
          </w:p>
        </w:tc>
        <w:tc>
          <w:tcPr>
            <w:tcW w:w="240" w:type="dxa"/>
            <w:vAlign w:val="bottom"/>
            <w:vMerge w:val="restart"/>
          </w:tcPr>
          <w:p>
            <w:pPr>
              <w:jc w:val="right"/>
              <w:ind w:right="47"/>
              <w:spacing w:after="0"/>
              <w:rPr>
                <w:sz w:val="20"/>
                <w:szCs w:val="20"/>
                <w:color w:val="auto"/>
              </w:rPr>
            </w:pPr>
            <w:r>
              <w:rPr>
                <w:rFonts w:ascii="Times New Roman" w:cs="Times New Roman" w:eastAsia="Times New Roman" w:hAnsi="Times New Roman"/>
                <w:sz w:val="11"/>
                <w:szCs w:val="11"/>
                <w:color w:val="008000"/>
                <w:w w:val="93"/>
              </w:rPr>
              <w:t>(2)</w:t>
            </w:r>
          </w:p>
        </w:tc>
        <w:tc>
          <w:tcPr>
            <w:tcW w:w="1080" w:type="dxa"/>
            <w:vAlign w:val="bottom"/>
            <w:vMerge w:val="restart"/>
          </w:tcPr>
          <w:p>
            <w:pPr>
              <w:jc w:val="right"/>
              <w:ind w:right="181"/>
              <w:spacing w:after="0"/>
              <w:rPr>
                <w:sz w:val="20"/>
                <w:szCs w:val="20"/>
                <w:color w:val="auto"/>
              </w:rPr>
            </w:pPr>
            <w:r>
              <w:rPr>
                <w:rFonts w:ascii="Times New Roman" w:cs="Times New Roman" w:eastAsia="Times New Roman" w:hAnsi="Times New Roman"/>
                <w:sz w:val="13"/>
                <w:szCs w:val="13"/>
                <w:color w:val="0000FF"/>
              </w:rPr>
              <w:t>06/30/2026</w:t>
            </w:r>
          </w:p>
        </w:tc>
        <w:tc>
          <w:tcPr>
            <w:tcW w:w="1060" w:type="dxa"/>
            <w:vAlign w:val="bottom"/>
          </w:tcPr>
          <w:p>
            <w:pPr>
              <w:spacing w:after="0"/>
              <w:rPr>
                <w:sz w:val="15"/>
                <w:szCs w:val="15"/>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17.8853</w:t>
            </w:r>
          </w:p>
        </w:tc>
        <w:tc>
          <w:tcPr>
            <w:tcW w:w="2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jc w:val="right"/>
              <w:ind w:right="224"/>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17.8853</w:t>
            </w:r>
          </w:p>
        </w:tc>
        <w:tc>
          <w:tcPr>
            <w:tcW w:w="680" w:type="dxa"/>
            <w:vAlign w:val="bottom"/>
            <w:vMerge w:val="restart"/>
          </w:tcPr>
          <w:p>
            <w:pPr>
              <w:ind w:left="1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271.35</w:t>
            </w:r>
          </w:p>
        </w:tc>
        <w:tc>
          <w:tcPr>
            <w:tcW w:w="92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2,699.1999</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tcPr>
          <w:p>
            <w:pPr>
              <w:ind w:left="60"/>
              <w:spacing w:after="0" w:line="64" w:lineRule="exact"/>
              <w:rPr>
                <w:sz w:val="20"/>
                <w:szCs w:val="20"/>
                <w:color w:val="auto"/>
              </w:rPr>
            </w:pPr>
            <w:r>
              <w:rPr>
                <w:rFonts w:ascii="Times New Roman" w:cs="Times New Roman" w:eastAsia="Times New Roman" w:hAnsi="Times New Roman"/>
                <w:sz w:val="6"/>
                <w:szCs w:val="6"/>
                <w:color w:val="0000FF"/>
              </w:rPr>
              <w:t>Stock</w:t>
            </w:r>
            <w:r>
              <w:rPr>
                <w:rFonts w:ascii="Times New Roman" w:cs="Times New Roman" w:eastAsia="Times New Roman" w:hAnsi="Times New Roman"/>
                <w:sz w:val="7"/>
                <w:szCs w:val="7"/>
                <w:color w:val="008000"/>
                <w:vertAlign w:val="superscript"/>
              </w:rPr>
              <w:t>(1)</w:t>
            </w:r>
          </w:p>
        </w:tc>
        <w:tc>
          <w:tcPr>
            <w:tcW w:w="52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80" w:type="dxa"/>
            <w:vAlign w:val="bottom"/>
          </w:tcPr>
          <w:p>
            <w:pPr>
              <w:ind w:left="160"/>
              <w:spacing w:after="0" w:line="64" w:lineRule="exact"/>
              <w:rPr>
                <w:sz w:val="20"/>
                <w:szCs w:val="20"/>
                <w:color w:val="auto"/>
              </w:rPr>
            </w:pPr>
            <w:r>
              <w:rPr>
                <w:rFonts w:ascii="Times New Roman" w:cs="Times New Roman" w:eastAsia="Times New Roman" w:hAnsi="Times New Roman"/>
                <w:sz w:val="7"/>
                <w:szCs w:val="7"/>
                <w:color w:val="0000FF"/>
              </w:rPr>
              <w:t>Stock</w:t>
            </w:r>
          </w:p>
        </w:tc>
        <w:tc>
          <w:tcPr>
            <w:tcW w:w="6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108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7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Phantom deferred stock units (Units) acquired under the Air Products Stock Account of the issuer's Deferred Compensation Program for Directors, under the Company's Long-Term Incentive Plan.</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Not applicable to this security</w:t>
      </w:r>
    </w:p>
    <w:p>
      <w:pPr>
        <w:spacing w:after="0" w:line="41" w:lineRule="exact"/>
        <w:rPr>
          <w:rFonts w:ascii="Times New Roman" w:cs="Times New Roman" w:eastAsia="Times New Roman" w:hAnsi="Times New Roman"/>
          <w:sz w:val="13"/>
          <w:szCs w:val="13"/>
          <w:color w:val="008000"/>
        </w:rPr>
      </w:pPr>
    </w:p>
    <w:p>
      <w:pPr>
        <w:ind w:left="40" w:right="400"/>
        <w:spacing w:after="0" w:line="245"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Units are payable in the form of shares of common stock equal in number to the Units, at the time elected by the reporting person, which is generally after service on the Company's Board of Directors ends. Units may be paid in a lump sum or up to ten installments as elected by the reporting person in advance.</w:t>
      </w:r>
    </w:p>
    <w:p>
      <w:pPr>
        <w:ind w:left="6600"/>
        <w:spacing w:after="0" w:line="183" w:lineRule="auto"/>
        <w:rPr>
          <w:sz w:val="20"/>
          <w:szCs w:val="20"/>
          <w:color w:val="auto"/>
        </w:rPr>
      </w:pPr>
      <w:r>
        <w:rPr>
          <w:rFonts w:ascii="Times New Roman" w:cs="Times New Roman" w:eastAsia="Times New Roman" w:hAnsi="Times New Roman"/>
          <w:sz w:val="16"/>
          <w:szCs w:val="16"/>
          <w:color w:val="0000FF"/>
        </w:rPr>
        <w:t xml:space="preserve">Andrea I. Rennig as Attorney in </w:t>
      </w:r>
      <w:r>
        <w:rPr>
          <w:rFonts w:ascii="Times New Roman" w:cs="Times New Roman" w:eastAsia="Times New Roman" w:hAnsi="Times New Roman"/>
          <w:sz w:val="31"/>
          <w:szCs w:val="31"/>
          <w:color w:val="0000FF"/>
          <w:vertAlign w:val="subscript"/>
        </w:rPr>
        <w:t>07/02/2026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-26035</wp:posOffset>
            </wp:positionV>
            <wp:extent cx="13487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874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-21590</wp:posOffset>
            </wp:positionV>
            <wp:extent cx="180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0975"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-86360</wp:posOffset>
            </wp:positionV>
            <wp:extent cx="4787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2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103735" TargetMode="External"/><Relationship Id="rId14" Type="http://schemas.openxmlformats.org/officeDocument/2006/relationships/hyperlink" Target="http://www.sec.gov/cgi-bin/browse-edgar?action=getcompany&amp;CIK=00000029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2026-07-02T09:45:21Z</dcterms:created>
  <dcterms:modified xsi:type="dcterms:W3CDTF">2026-07-02T09:45:21Z</dcterms:modified>
</cp:coreProperties>
</file>