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251" w:lineRule="exact"/>
        <w:rPr>
          <w:sz w:val="24"/>
          <w:szCs w:val="24"/>
          <w:color w:val="auto"/>
        </w:rPr>
      </w:pPr>
    </w:p>
    <w:p>
      <w:pPr>
        <w:jc w:val="center"/>
        <w:ind w:left="640"/>
        <w:spacing w:after="0" w:line="271" w:lineRule="auto"/>
        <w:rPr>
          <w:sz w:val="20"/>
          <w:szCs w:val="20"/>
          <w:color w:val="auto"/>
        </w:rPr>
      </w:pPr>
      <w:r>
        <w:rPr>
          <w:rFonts w:ascii="Times New Roman" w:cs="Times New Roman" w:eastAsia="Times New Roman" w:hAnsi="Times New Roman"/>
          <w:sz w:val="22"/>
          <w:szCs w:val="22"/>
          <w:color w:val="auto"/>
        </w:rPr>
        <w:t>FOR ANNUAL REPORTS OF EMPLOYEE STOCK PURCHASE, SAVINGS AND SIMILAR PLANS PURSUANT TO SECTION 15(d) OF THE SECURITIES AND EXCHANGE ACT OF 1934</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One)</w:t>
      </w:r>
    </w:p>
    <w:p>
      <w:pPr>
        <w:spacing w:after="0" w:line="31" w:lineRule="exact"/>
        <w:rPr>
          <w:sz w:val="24"/>
          <w:szCs w:val="24"/>
          <w:color w:val="auto"/>
        </w:rPr>
      </w:pPr>
    </w:p>
    <w:p>
      <w:pPr>
        <w:ind w:left="3380" w:right="1060" w:hanging="3354"/>
        <w:spacing w:after="0" w:line="373" w:lineRule="auto"/>
        <w:tabs>
          <w:tab w:leader="none" w:pos="427"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color w:val="auto"/>
        </w:rPr>
        <w:t>ANNUAL REPORT PURSUANT TO SECTION 15(d) OF THE SECURITIES EXCHANGE ACT OF 1934 For the fiscal year ended 31 December 2025</w:t>
      </w:r>
    </w:p>
    <w:p>
      <w:pPr>
        <w:spacing w:after="0" w:line="7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OR</w:t>
      </w:r>
    </w:p>
    <w:p>
      <w:pPr>
        <w:spacing w:after="0" w:line="31" w:lineRule="exact"/>
        <w:rPr>
          <w:sz w:val="24"/>
          <w:szCs w:val="24"/>
          <w:color w:val="auto"/>
        </w:rPr>
      </w:pPr>
    </w:p>
    <w:p>
      <w:pPr>
        <w:ind w:left="740" w:right="860" w:hanging="680"/>
        <w:spacing w:after="0" w:line="236" w:lineRule="auto"/>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TRANSITION REPORT PURSUANT TO SECTION 15(d) OF THE SECURITIES EXCHANGE ACT OF 1934</w:t>
      </w:r>
    </w:p>
    <w:p>
      <w:pPr>
        <w:spacing w:after="0" w:line="8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color w:val="auto"/>
        </w:rPr>
        <w:t>For the transition period from _________ to _________</w:t>
      </w:r>
    </w:p>
    <w:p>
      <w:pPr>
        <w:spacing w:after="0" w:line="24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Commission file number 001-04534</w:t>
      </w:r>
    </w:p>
    <w:p>
      <w:pPr>
        <w:spacing w:after="0" w:line="31" w:lineRule="exact"/>
        <w:rPr>
          <w:sz w:val="24"/>
          <w:szCs w:val="24"/>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Full title of the Plan and the address of the Plan, if different from that of the issuer named below:</w:t>
      </w:r>
    </w:p>
    <w:p>
      <w:pPr>
        <w:spacing w:after="0" w:line="35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AIR PRODUCTS AND CHEMICALS, INC.</w:t>
      </w:r>
    </w:p>
    <w:p>
      <w:pPr>
        <w:spacing w:after="0" w:line="3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RETIREMENT SAVINGS PLAN</w:t>
      </w:r>
    </w:p>
    <w:p>
      <w:pPr>
        <w:spacing w:after="0" w:line="7" w:lineRule="exact"/>
        <w:rPr>
          <w:sz w:val="24"/>
          <w:szCs w:val="24"/>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Name of issuer of the securities held pursuant to the Plan and the address of its principal executive offices:</w:t>
      </w:r>
    </w:p>
    <w:p>
      <w:pPr>
        <w:spacing w:after="0" w:line="35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AIR PRODUCTS AND CHEMICALS, INC.</w:t>
      </w:r>
    </w:p>
    <w:p>
      <w:pPr>
        <w:spacing w:after="0" w:line="3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1940 AIR PRODUCTS BOULEVARD</w:t>
      </w:r>
    </w:p>
    <w:p>
      <w:pPr>
        <w:spacing w:after="0" w:line="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ALLENTOWN, PA 18106-5500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40" w:right="6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w w:val="99"/>
              </w:rPr>
              <w:t>Report of Independent Registered Public Accounting Firm</w:t>
            </w:r>
          </w:p>
        </w:tc>
        <w:tc>
          <w:tcPr>
            <w:tcW w:w="5760" w:type="dxa"/>
            <w:vAlign w:val="bottom"/>
            <w:gridSpan w:val="6"/>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w:t>
            </w:r>
          </w:p>
        </w:tc>
      </w:tr>
      <w:tr>
        <w:trPr>
          <w:trHeight w:val="534"/>
        </w:trPr>
        <w:tc>
          <w:tcPr>
            <w:tcW w:w="1020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Financial Statements</w:t>
            </w:r>
          </w:p>
        </w:tc>
        <w:tc>
          <w:tcPr>
            <w:tcW w:w="1000" w:type="dxa"/>
            <w:vAlign w:val="bottom"/>
          </w:tcPr>
          <w:p>
            <w:pPr>
              <w:spacing w:after="0"/>
              <w:rPr>
                <w:sz w:val="24"/>
                <w:szCs w:val="24"/>
                <w:color w:val="auto"/>
              </w:rPr>
            </w:pPr>
          </w:p>
        </w:tc>
      </w:tr>
      <w:tr>
        <w:trPr>
          <w:trHeight w:val="202"/>
        </w:trPr>
        <w:tc>
          <w:tcPr>
            <w:tcW w:w="200" w:type="dxa"/>
            <w:vAlign w:val="bottom"/>
          </w:tcPr>
          <w:p>
            <w:pPr>
              <w:spacing w:after="0"/>
              <w:rPr>
                <w:sz w:val="17"/>
                <w:szCs w:val="17"/>
                <w:color w:val="auto"/>
              </w:rPr>
            </w:pPr>
          </w:p>
        </w:tc>
        <w:tc>
          <w:tcPr>
            <w:tcW w:w="626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9"/>
                <w:szCs w:val="19"/>
                <w:color w:val="0000FF"/>
                <w:w w:val="99"/>
              </w:rPr>
              <w:t>Statements of Net Assets Available for Benefits as of 31 December 2025 and 2024</w:t>
            </w:r>
          </w:p>
        </w:tc>
        <w:tc>
          <w:tcPr>
            <w:tcW w:w="3740" w:type="dxa"/>
            <w:vAlign w:val="bottom"/>
            <w:gridSpan w:val="5"/>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0000FF"/>
              </w:rPr>
              <w:t>2</w:t>
            </w:r>
          </w:p>
        </w:tc>
      </w:tr>
      <w:tr>
        <w:trPr>
          <w:trHeight w:val="223"/>
        </w:trPr>
        <w:tc>
          <w:tcPr>
            <w:tcW w:w="200" w:type="dxa"/>
            <w:vAlign w:val="bottom"/>
          </w:tcPr>
          <w:p>
            <w:pPr>
              <w:spacing w:after="0"/>
              <w:rPr>
                <w:sz w:val="19"/>
                <w:szCs w:val="19"/>
                <w:color w:val="auto"/>
              </w:rPr>
            </w:pPr>
          </w:p>
        </w:tc>
        <w:tc>
          <w:tcPr>
            <w:tcW w:w="7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Statement of Changes in Net Assets Available for Benefits for the Year Ended 31 December 2025</w:t>
            </w:r>
          </w:p>
        </w:tc>
        <w:tc>
          <w:tcPr>
            <w:tcW w:w="2600" w:type="dxa"/>
            <w:vAlign w:val="bottom"/>
            <w:gridSpan w:val="4"/>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3</w:t>
            </w:r>
          </w:p>
        </w:tc>
      </w:tr>
      <w:tr>
        <w:trPr>
          <w:trHeight w:val="223"/>
        </w:trPr>
        <w:tc>
          <w:tcPr>
            <w:tcW w:w="200" w:type="dxa"/>
            <w:vAlign w:val="bottom"/>
          </w:tcPr>
          <w:p>
            <w:pPr>
              <w:spacing w:after="0"/>
              <w:rPr>
                <w:sz w:val="19"/>
                <w:szCs w:val="19"/>
                <w:color w:val="auto"/>
              </w:rPr>
            </w:pPr>
          </w:p>
        </w:tc>
        <w:tc>
          <w:tcPr>
            <w:tcW w:w="8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w w:val="99"/>
              </w:rPr>
              <w:t>Notes to Financial Statements as of 31 December 2025 and 2024, and for the Year Ended 31 December 2025</w:t>
            </w:r>
          </w:p>
        </w:tc>
        <w:tc>
          <w:tcPr>
            <w:tcW w:w="1760" w:type="dxa"/>
            <w:vAlign w:val="bottom"/>
            <w:gridSpan w:val="2"/>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4</w:t>
            </w:r>
          </w:p>
        </w:tc>
      </w:tr>
      <w:tr>
        <w:trPr>
          <w:trHeight w:val="534"/>
        </w:trPr>
        <w:tc>
          <w:tcPr>
            <w:tcW w:w="1020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Supplemental Schedule</w:t>
            </w:r>
          </w:p>
        </w:tc>
        <w:tc>
          <w:tcPr>
            <w:tcW w:w="1000" w:type="dxa"/>
            <w:vAlign w:val="bottom"/>
          </w:tcPr>
          <w:p>
            <w:pPr>
              <w:spacing w:after="0"/>
              <w:rPr>
                <w:sz w:val="24"/>
                <w:szCs w:val="24"/>
                <w:color w:val="auto"/>
              </w:rPr>
            </w:pPr>
          </w:p>
        </w:tc>
      </w:tr>
      <w:tr>
        <w:trPr>
          <w:trHeight w:val="202"/>
        </w:trPr>
        <w:tc>
          <w:tcPr>
            <w:tcW w:w="200" w:type="dxa"/>
            <w:vAlign w:val="bottom"/>
          </w:tcPr>
          <w:p>
            <w:pPr>
              <w:spacing w:after="0"/>
              <w:rPr>
                <w:sz w:val="17"/>
                <w:szCs w:val="17"/>
                <w:color w:val="auto"/>
              </w:rPr>
            </w:pPr>
          </w:p>
        </w:tc>
        <w:tc>
          <w:tcPr>
            <w:tcW w:w="10000" w:type="dxa"/>
            <w:vAlign w:val="bottom"/>
            <w:gridSpan w:val="9"/>
          </w:tcPr>
          <w:p>
            <w:pPr>
              <w:spacing w:after="0" w:line="202" w:lineRule="exact"/>
              <w:rPr>
                <w:sz w:val="20"/>
                <w:szCs w:val="20"/>
                <w:color w:val="auto"/>
              </w:rPr>
            </w:pPr>
            <w:r>
              <w:rPr>
                <w:rFonts w:ascii="Times New Roman" w:cs="Times New Roman" w:eastAsia="Times New Roman" w:hAnsi="Times New Roman"/>
                <w:sz w:val="19"/>
                <w:szCs w:val="19"/>
                <w:color w:val="0000FF"/>
              </w:rPr>
              <w:t>Schedule H, Part IV, Line 4(a) – Schedule of Delinquent Participant Contributions for the Year Ended 31 December 2025</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0000FF"/>
              </w:rPr>
              <w:t>16</w:t>
            </w:r>
          </w:p>
        </w:tc>
      </w:tr>
      <w:tr>
        <w:trPr>
          <w:trHeight w:val="223"/>
        </w:trPr>
        <w:tc>
          <w:tcPr>
            <w:tcW w:w="200" w:type="dxa"/>
            <w:vAlign w:val="bottom"/>
          </w:tcPr>
          <w:p>
            <w:pPr>
              <w:spacing w:after="0"/>
              <w:rPr>
                <w:sz w:val="19"/>
                <w:szCs w:val="19"/>
                <w:color w:val="auto"/>
              </w:rPr>
            </w:pPr>
          </w:p>
        </w:tc>
        <w:tc>
          <w:tcPr>
            <w:tcW w:w="91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rPr>
              <w:t>Schedule H, Part IV, Line 4(i) – Schedule of Assets (Held at End of Year) as of 31 December 2025</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17</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20" w:type="dxa"/>
            <w:vAlign w:val="bottom"/>
            <w:gridSpan w:val="4"/>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93"/>
        </w:trPr>
        <w:tc>
          <w:tcPr>
            <w:tcW w:w="1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8"/>
              </w:rPr>
              <w:t>Index to Exhibit</w:t>
            </w:r>
          </w:p>
        </w:tc>
        <w:tc>
          <w:tcPr>
            <w:tcW w:w="896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19</w:t>
            </w:r>
          </w:p>
        </w:tc>
      </w:tr>
      <w:tr>
        <w:trPr>
          <w:trHeight w:val="223"/>
        </w:trPr>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w w:val="98"/>
              </w:rPr>
              <w:t>Signature</w:t>
            </w:r>
          </w:p>
        </w:tc>
        <w:tc>
          <w:tcPr>
            <w:tcW w:w="9460" w:type="dxa"/>
            <w:vAlign w:val="bottom"/>
            <w:gridSpan w:val="8"/>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other schedules required by the Department of Labor’s Rules and Regulations for Reporting and Disclosure under the Employee Retirement Income Security Act of 1974 ("ERISA") have been omitted because there is no information to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Participants and Plan Administrator of Air Products and Chemicals, Inc. Retirement Savings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Air Products and Chemicals, Inc. Retirement Savings Plan (the "Plan") as of 31 December 2025 and 2024, the related statement of changes in net assets available for benefits for the year ended 31 December 2025, and the related notes (collectively referred to as the “financial statements”). In our opinion, the financial statements present fairly, in all material respects, the net assets available for benefits of the Plan as of 31 December 2025 and 2024, and the changes in net assets available for benefits for the year ended 31 December 2025, in conformity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on Supplemental Schedules</w:t>
      </w:r>
    </w:p>
    <w:p>
      <w:pPr>
        <w:spacing w:after="0" w:line="1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supplemental schedules of assets (held at end of year) as of 31 December 2025 and of delinquent participant contributions for the year ended 31 December 2025,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June 2026</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auditor of the Plan since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040" w:type="dxa"/>
            <w:vAlign w:val="bottom"/>
          </w:tcPr>
          <w:p>
            <w:pPr>
              <w:ind w:left="4240"/>
              <w:spacing w:after="0"/>
              <w:rPr>
                <w:sz w:val="20"/>
                <w:szCs w:val="20"/>
                <w:color w:val="auto"/>
              </w:rPr>
            </w:pPr>
            <w:r>
              <w:rPr>
                <w:rFonts w:ascii="Times New Roman" w:cs="Times New Roman" w:eastAsia="Times New Roman" w:hAnsi="Times New Roman"/>
                <w:sz w:val="20"/>
                <w:szCs w:val="20"/>
                <w:color w:val="auto"/>
                <w:w w:val="99"/>
              </w:rPr>
              <w:t>As of 31 December 2025 and 2024</w:t>
            </w:r>
          </w:p>
        </w:tc>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83"/>
        </w:trPr>
        <w:tc>
          <w:tcPr>
            <w:tcW w:w="7040" w:type="dxa"/>
            <w:vAlign w:val="bottom"/>
          </w:tcPr>
          <w:p>
            <w:pPr>
              <w:ind w:left="5060"/>
              <w:spacing w:after="0"/>
              <w:rPr>
                <w:sz w:val="20"/>
                <w:szCs w:val="20"/>
                <w:color w:val="auto"/>
              </w:rPr>
            </w:pPr>
            <w:r>
              <w:rPr>
                <w:rFonts w:ascii="Times New Roman" w:cs="Times New Roman" w:eastAsia="Times New Roman" w:hAnsi="Times New Roman"/>
                <w:sz w:val="20"/>
                <w:szCs w:val="20"/>
                <w:color w:val="auto"/>
              </w:rPr>
              <w:t>(In thousands)</w:t>
            </w: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87"/>
        </w:trPr>
        <w:tc>
          <w:tcPr>
            <w:tcW w:w="704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2024</w:t>
            </w:r>
          </w:p>
        </w:tc>
      </w:tr>
      <w:tr>
        <w:trPr>
          <w:trHeight w:val="24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257"/>
        </w:trPr>
        <w:tc>
          <w:tcPr>
            <w:tcW w:w="70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Participant-directed investments at fair value:</w:t>
            </w:r>
          </w:p>
        </w:tc>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7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Interest-bearing cash</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$26,017</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$18,983</w:t>
            </w:r>
          </w:p>
        </w:tc>
      </w:tr>
      <w:tr>
        <w:trPr>
          <w:trHeight w:val="257"/>
        </w:trPr>
        <w:tc>
          <w:tcPr>
            <w:tcW w:w="70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Mutual funds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324,930</w:t>
            </w:r>
          </w:p>
        </w:tc>
        <w:tc>
          <w:tcPr>
            <w:tcW w:w="8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303,645</w:t>
            </w:r>
          </w:p>
        </w:tc>
      </w:tr>
      <w:tr>
        <w:trPr>
          <w:trHeight w:val="257"/>
        </w:trPr>
        <w:tc>
          <w:tcPr>
            <w:tcW w:w="7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Commingled funds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1,716,352</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1,543,041</w:t>
            </w:r>
          </w:p>
        </w:tc>
      </w:tr>
      <w:tr>
        <w:trPr>
          <w:trHeight w:val="257"/>
        </w:trPr>
        <w:tc>
          <w:tcPr>
            <w:tcW w:w="70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Company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366,605</w:t>
            </w:r>
          </w:p>
        </w:tc>
        <w:tc>
          <w:tcPr>
            <w:tcW w:w="8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458,761</w:t>
            </w:r>
          </w:p>
        </w:tc>
      </w:tr>
      <w:tr>
        <w:trPr>
          <w:trHeight w:val="256"/>
        </w:trPr>
        <w:tc>
          <w:tcPr>
            <w:tcW w:w="7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Separately managed account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130,392</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141,575</w:t>
            </w:r>
          </w:p>
        </w:tc>
      </w:tr>
      <w:tr>
        <w:trPr>
          <w:trHeight w:val="257"/>
        </w:trPr>
        <w:tc>
          <w:tcPr>
            <w:tcW w:w="7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86,987</w:t>
            </w:r>
          </w:p>
        </w:tc>
        <w:tc>
          <w:tcPr>
            <w:tcW w:w="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79,217</w:t>
            </w:r>
          </w:p>
        </w:tc>
      </w:tr>
      <w:tr>
        <w:trPr>
          <w:trHeight w:val="250"/>
        </w:trPr>
        <w:tc>
          <w:tcPr>
            <w:tcW w:w="7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Total participant-directed investments at fair value</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2,651,283</w:t>
            </w:r>
          </w:p>
        </w:tc>
        <w:tc>
          <w:tcPr>
            <w:tcW w:w="8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2,545,222</w:t>
            </w:r>
          </w:p>
        </w:tc>
      </w:tr>
      <w:tr>
        <w:trPr>
          <w:trHeight w:val="237"/>
        </w:trPr>
        <w:tc>
          <w:tcPr>
            <w:tcW w:w="70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Fully benefit-responsive investment contracts at contract value:</w:t>
            </w: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57"/>
        </w:trPr>
        <w:tc>
          <w:tcPr>
            <w:tcW w:w="7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Fixed income securities fund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149,506</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175,762</w:t>
            </w:r>
          </w:p>
        </w:tc>
      </w:tr>
      <w:tr>
        <w:trPr>
          <w:trHeight w:val="256"/>
        </w:trPr>
        <w:tc>
          <w:tcPr>
            <w:tcW w:w="70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Receivables:</w:t>
            </w:r>
          </w:p>
        </w:tc>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7"/>
        </w:trPr>
        <w:tc>
          <w:tcPr>
            <w:tcW w:w="7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21,541</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19,564</w:t>
            </w:r>
          </w:p>
        </w:tc>
      </w:tr>
      <w:tr>
        <w:trPr>
          <w:trHeight w:val="257"/>
        </w:trPr>
        <w:tc>
          <w:tcPr>
            <w:tcW w:w="70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8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r>
      <w:tr>
        <w:trPr>
          <w:trHeight w:val="257"/>
        </w:trPr>
        <w:tc>
          <w:tcPr>
            <w:tcW w:w="7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Accrued interest and dividends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669</w:t>
            </w:r>
          </w:p>
        </w:tc>
      </w:tr>
      <w:tr>
        <w:trPr>
          <w:trHeight w:val="256"/>
        </w:trPr>
        <w:tc>
          <w:tcPr>
            <w:tcW w:w="7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20"/>
                <w:szCs w:val="20"/>
                <w:color w:val="auto"/>
              </w:rPr>
              <w:t>Other receivables</w:t>
            </w:r>
          </w:p>
        </w:tc>
        <w:tc>
          <w:tcPr>
            <w:tcW w:w="21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w:t>
            </w:r>
          </w:p>
        </w:tc>
      </w:tr>
      <w:tr>
        <w:trPr>
          <w:trHeight w:val="250"/>
        </w:trPr>
        <w:tc>
          <w:tcPr>
            <w:tcW w:w="7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Total receivables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22,906</w:t>
            </w:r>
          </w:p>
        </w:tc>
        <w:tc>
          <w:tcPr>
            <w:tcW w:w="8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22,807</w:t>
            </w:r>
          </w:p>
        </w:tc>
      </w:tr>
      <w:tr>
        <w:trPr>
          <w:trHeight w:val="250"/>
        </w:trPr>
        <w:tc>
          <w:tcPr>
            <w:tcW w:w="7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20"/>
                <w:szCs w:val="20"/>
                <w:color w:val="auto"/>
              </w:rPr>
              <w:t>Total assets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2,823,695</w:t>
            </w:r>
          </w:p>
        </w:tc>
        <w:tc>
          <w:tcPr>
            <w:tcW w:w="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2,743,791</w:t>
            </w:r>
          </w:p>
        </w:tc>
      </w:tr>
      <w:tr>
        <w:trPr>
          <w:trHeight w:val="23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256"/>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Payables and accrued liabilities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w:t>
            </w:r>
          </w:p>
        </w:tc>
      </w:tr>
      <w:tr>
        <w:trPr>
          <w:trHeight w:val="250"/>
        </w:trPr>
        <w:tc>
          <w:tcPr>
            <w:tcW w:w="7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Total liabilities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8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w:t>
            </w:r>
          </w:p>
        </w:tc>
      </w:tr>
      <w:tr>
        <w:trPr>
          <w:trHeight w:val="250"/>
        </w:trPr>
        <w:tc>
          <w:tcPr>
            <w:tcW w:w="7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$2,823,408</w:t>
            </w:r>
          </w:p>
        </w:tc>
        <w:tc>
          <w:tcPr>
            <w:tcW w:w="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$2,743,458</w:t>
            </w:r>
          </w:p>
        </w:tc>
      </w:tr>
      <w:tr>
        <w:trPr>
          <w:trHeight w:val="20"/>
        </w:trPr>
        <w:tc>
          <w:tcPr>
            <w:tcW w:w="70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00" w:type="dxa"/>
            <w:vAlign w:val="bottom"/>
          </w:tcPr>
          <w:p>
            <w:pPr>
              <w:jc w:val="center"/>
              <w:ind w:left="2341"/>
              <w:spacing w:after="0"/>
              <w:rPr>
                <w:sz w:val="20"/>
                <w:szCs w:val="20"/>
                <w:color w:val="auto"/>
              </w:rPr>
            </w:pPr>
            <w:r>
              <w:rPr>
                <w:rFonts w:ascii="Times New Roman" w:cs="Times New Roman" w:eastAsia="Times New Roman" w:hAnsi="Times New Roman"/>
                <w:sz w:val="20"/>
                <w:szCs w:val="20"/>
                <w:b w:val="1"/>
                <w:bCs w:val="1"/>
                <w:color w:val="auto"/>
                <w:w w:val="98"/>
              </w:rPr>
              <w:t>AIR PRODUCTS AND CHEMICALS, INC.</w:t>
            </w:r>
          </w:p>
        </w:tc>
        <w:tc>
          <w:tcPr>
            <w:tcW w:w="2440" w:type="dxa"/>
            <w:vAlign w:val="bottom"/>
          </w:tcPr>
          <w:p>
            <w:pPr>
              <w:spacing w:after="0"/>
              <w:rPr>
                <w:sz w:val="21"/>
                <w:szCs w:val="21"/>
                <w:color w:val="auto"/>
              </w:rPr>
            </w:pPr>
          </w:p>
        </w:tc>
      </w:tr>
      <w:tr>
        <w:trPr>
          <w:trHeight w:val="262"/>
        </w:trPr>
        <w:tc>
          <w:tcPr>
            <w:tcW w:w="8800" w:type="dxa"/>
            <w:vAlign w:val="bottom"/>
          </w:tcPr>
          <w:p>
            <w:pPr>
              <w:jc w:val="center"/>
              <w:ind w:left="2341"/>
              <w:spacing w:after="0"/>
              <w:rPr>
                <w:sz w:val="20"/>
                <w:szCs w:val="20"/>
                <w:color w:val="auto"/>
              </w:rPr>
            </w:pPr>
            <w:r>
              <w:rPr>
                <w:rFonts w:ascii="Times New Roman" w:cs="Times New Roman" w:eastAsia="Times New Roman" w:hAnsi="Times New Roman"/>
                <w:sz w:val="20"/>
                <w:szCs w:val="20"/>
                <w:b w:val="1"/>
                <w:bCs w:val="1"/>
                <w:color w:val="auto"/>
                <w:w w:val="97"/>
              </w:rPr>
              <w:t>RETIREMENT SAVINGS PLAN</w:t>
            </w:r>
          </w:p>
        </w:tc>
        <w:tc>
          <w:tcPr>
            <w:tcW w:w="2440" w:type="dxa"/>
            <w:vAlign w:val="bottom"/>
          </w:tcPr>
          <w:p>
            <w:pPr>
              <w:spacing w:after="0"/>
              <w:rPr>
                <w:sz w:val="22"/>
                <w:szCs w:val="22"/>
                <w:color w:val="auto"/>
              </w:rPr>
            </w:pPr>
          </w:p>
        </w:tc>
      </w:tr>
      <w:tr>
        <w:trPr>
          <w:trHeight w:val="283"/>
        </w:trPr>
        <w:tc>
          <w:tcPr>
            <w:tcW w:w="8800" w:type="dxa"/>
            <w:vAlign w:val="bottom"/>
          </w:tcPr>
          <w:p>
            <w:pPr>
              <w:jc w:val="center"/>
              <w:ind w:left="2341"/>
              <w:spacing w:after="0"/>
              <w:rPr>
                <w:sz w:val="20"/>
                <w:szCs w:val="20"/>
                <w:color w:val="auto"/>
              </w:rPr>
            </w:pPr>
            <w:r>
              <w:rPr>
                <w:rFonts w:ascii="Times New Roman" w:cs="Times New Roman" w:eastAsia="Times New Roman" w:hAnsi="Times New Roman"/>
                <w:sz w:val="20"/>
                <w:szCs w:val="20"/>
                <w:color w:val="auto"/>
                <w:w w:val="98"/>
              </w:rPr>
              <w:t>Statement of Changes in Net Assets Available for Benefits</w:t>
            </w:r>
          </w:p>
        </w:tc>
        <w:tc>
          <w:tcPr>
            <w:tcW w:w="2440" w:type="dxa"/>
            <w:vAlign w:val="bottom"/>
          </w:tcPr>
          <w:p>
            <w:pPr>
              <w:spacing w:after="0"/>
              <w:rPr>
                <w:sz w:val="24"/>
                <w:szCs w:val="24"/>
                <w:color w:val="auto"/>
              </w:rPr>
            </w:pPr>
          </w:p>
        </w:tc>
      </w:tr>
      <w:tr>
        <w:trPr>
          <w:trHeight w:val="297"/>
        </w:trPr>
        <w:tc>
          <w:tcPr>
            <w:tcW w:w="8800" w:type="dxa"/>
            <w:vAlign w:val="bottom"/>
          </w:tcPr>
          <w:p>
            <w:pPr>
              <w:jc w:val="center"/>
              <w:ind w:left="2341"/>
              <w:spacing w:after="0"/>
              <w:rPr>
                <w:sz w:val="20"/>
                <w:szCs w:val="20"/>
                <w:color w:val="auto"/>
              </w:rPr>
            </w:pPr>
            <w:r>
              <w:rPr>
                <w:rFonts w:ascii="Times New Roman" w:cs="Times New Roman" w:eastAsia="Times New Roman" w:hAnsi="Times New Roman"/>
                <w:sz w:val="20"/>
                <w:szCs w:val="20"/>
                <w:color w:val="auto"/>
                <w:w w:val="97"/>
              </w:rPr>
              <w:t>For the Year Ended 31 December 2025</w:t>
            </w:r>
          </w:p>
        </w:tc>
        <w:tc>
          <w:tcPr>
            <w:tcW w:w="2440" w:type="dxa"/>
            <w:vAlign w:val="bottom"/>
          </w:tcPr>
          <w:p>
            <w:pPr>
              <w:spacing w:after="0"/>
              <w:rPr>
                <w:sz w:val="24"/>
                <w:szCs w:val="24"/>
                <w:color w:val="auto"/>
              </w:rPr>
            </w:pPr>
          </w:p>
        </w:tc>
      </w:tr>
      <w:tr>
        <w:trPr>
          <w:trHeight w:val="283"/>
        </w:trPr>
        <w:tc>
          <w:tcPr>
            <w:tcW w:w="8800" w:type="dxa"/>
            <w:vAlign w:val="bottom"/>
          </w:tcPr>
          <w:p>
            <w:pPr>
              <w:jc w:val="center"/>
              <w:ind w:left="2361"/>
              <w:spacing w:after="0"/>
              <w:rPr>
                <w:sz w:val="20"/>
                <w:szCs w:val="20"/>
                <w:color w:val="auto"/>
              </w:rPr>
            </w:pPr>
            <w:r>
              <w:rPr>
                <w:rFonts w:ascii="Times New Roman" w:cs="Times New Roman" w:eastAsia="Times New Roman" w:hAnsi="Times New Roman"/>
                <w:sz w:val="20"/>
                <w:szCs w:val="20"/>
                <w:color w:val="auto"/>
                <w:w w:val="99"/>
              </w:rPr>
              <w:t>(In thousands)</w:t>
            </w:r>
          </w:p>
        </w:tc>
        <w:tc>
          <w:tcPr>
            <w:tcW w:w="2440" w:type="dxa"/>
            <w:vAlign w:val="bottom"/>
          </w:tcPr>
          <w:p>
            <w:pPr>
              <w:spacing w:after="0"/>
              <w:rPr>
                <w:sz w:val="24"/>
                <w:szCs w:val="24"/>
                <w:color w:val="auto"/>
              </w:rPr>
            </w:pPr>
          </w:p>
        </w:tc>
      </w:tr>
      <w:tr>
        <w:trPr>
          <w:trHeight w:val="287"/>
        </w:trPr>
        <w:tc>
          <w:tcPr>
            <w:tcW w:w="880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2025</w:t>
            </w:r>
          </w:p>
        </w:tc>
      </w:tr>
      <w:tr>
        <w:trPr>
          <w:trHeight w:val="24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Additions:</w:t>
            </w:r>
          </w:p>
        </w:tc>
        <w:tc>
          <w:tcPr>
            <w:tcW w:w="2440" w:type="dxa"/>
            <w:vAlign w:val="bottom"/>
            <w:shd w:val="clear" w:color="auto" w:fill="CCEEFF"/>
          </w:tcPr>
          <w:p>
            <w:pPr>
              <w:spacing w:after="0"/>
              <w:rPr>
                <w:sz w:val="20"/>
                <w:szCs w:val="20"/>
                <w:color w:val="auto"/>
              </w:rPr>
            </w:pPr>
          </w:p>
        </w:tc>
      </w:tr>
      <w:tr>
        <w:trPr>
          <w:trHeight w:val="257"/>
        </w:trPr>
        <w:tc>
          <w:tcPr>
            <w:tcW w:w="8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Contributions:</w:t>
            </w:r>
          </w:p>
        </w:tc>
        <w:tc>
          <w:tcPr>
            <w:tcW w:w="2440" w:type="dxa"/>
            <w:vAlign w:val="bottom"/>
          </w:tcPr>
          <w:p>
            <w:pPr>
              <w:spacing w:after="0"/>
              <w:rPr>
                <w:sz w:val="22"/>
                <w:szCs w:val="22"/>
                <w:color w:val="auto"/>
              </w:rPr>
            </w:pPr>
          </w:p>
        </w:tc>
      </w:tr>
      <w:tr>
        <w:trPr>
          <w:trHeight w:val="256"/>
        </w:trPr>
        <w:tc>
          <w:tcPr>
            <w:tcW w:w="8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$74,924</w:t>
            </w:r>
          </w:p>
        </w:tc>
      </w:tr>
      <w:tr>
        <w:trPr>
          <w:trHeight w:val="257"/>
        </w:trPr>
        <w:tc>
          <w:tcPr>
            <w:tcW w:w="88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Company matching contributions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18,651</w:t>
            </w:r>
          </w:p>
        </w:tc>
      </w:tr>
      <w:tr>
        <w:trPr>
          <w:trHeight w:val="257"/>
        </w:trPr>
        <w:tc>
          <w:tcPr>
            <w:tcW w:w="8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Company core contributions</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32,900</w:t>
            </w:r>
          </w:p>
        </w:tc>
      </w:tr>
      <w:tr>
        <w:trPr>
          <w:trHeight w:val="250"/>
        </w:trPr>
        <w:tc>
          <w:tcPr>
            <w:tcW w:w="8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Total contributions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126,475</w:t>
            </w:r>
          </w:p>
        </w:tc>
      </w:tr>
      <w:tr>
        <w:trPr>
          <w:trHeight w:val="257"/>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Investment income:</w:t>
            </w:r>
          </w:p>
        </w:tc>
        <w:tc>
          <w:tcPr>
            <w:tcW w:w="2440" w:type="dxa"/>
            <w:vAlign w:val="bottom"/>
            <w:shd w:val="clear" w:color="auto" w:fill="CCEEFF"/>
          </w:tcPr>
          <w:p>
            <w:pPr>
              <w:spacing w:after="0"/>
              <w:rPr>
                <w:sz w:val="22"/>
                <w:szCs w:val="22"/>
                <w:color w:val="auto"/>
              </w:rPr>
            </w:pPr>
          </w:p>
        </w:tc>
      </w:tr>
      <w:tr>
        <w:trPr>
          <w:trHeight w:val="256"/>
        </w:trPr>
        <w:tc>
          <w:tcPr>
            <w:tcW w:w="88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Interest income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2,651</w:t>
            </w:r>
          </w:p>
        </w:tc>
      </w:tr>
      <w:tr>
        <w:trPr>
          <w:trHeight w:val="257"/>
        </w:trPr>
        <w:tc>
          <w:tcPr>
            <w:tcW w:w="8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Dividend income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44,471</w:t>
            </w:r>
          </w:p>
        </w:tc>
      </w:tr>
      <w:tr>
        <w:trPr>
          <w:trHeight w:val="257"/>
        </w:trPr>
        <w:tc>
          <w:tcPr>
            <w:tcW w:w="8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20"/>
                <w:szCs w:val="20"/>
                <w:color w:val="auto"/>
              </w:rPr>
              <w:t>Net appreciation in the fair value of investments</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242,386</w:t>
            </w:r>
          </w:p>
        </w:tc>
      </w:tr>
      <w:tr>
        <w:trPr>
          <w:trHeight w:val="250"/>
        </w:trPr>
        <w:tc>
          <w:tcPr>
            <w:tcW w:w="8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Total investment income</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289,508</w:t>
            </w:r>
          </w:p>
        </w:tc>
      </w:tr>
      <w:tr>
        <w:trPr>
          <w:trHeight w:val="250"/>
        </w:trPr>
        <w:tc>
          <w:tcPr>
            <w:tcW w:w="88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20"/>
                <w:szCs w:val="20"/>
                <w:color w:val="auto"/>
              </w:rPr>
              <w:t>Total additions</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415,983</w:t>
            </w:r>
          </w:p>
        </w:tc>
      </w:tr>
      <w:tr>
        <w:trPr>
          <w:trHeight w:val="237"/>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Deductions:</w:t>
            </w:r>
          </w:p>
        </w:tc>
        <w:tc>
          <w:tcPr>
            <w:tcW w:w="2440" w:type="dxa"/>
            <w:vAlign w:val="bottom"/>
            <w:shd w:val="clear" w:color="auto" w:fill="CCEEFF"/>
          </w:tcPr>
          <w:p>
            <w:pPr>
              <w:spacing w:after="0"/>
              <w:rPr>
                <w:sz w:val="20"/>
                <w:szCs w:val="20"/>
                <w:color w:val="auto"/>
              </w:rPr>
            </w:pPr>
          </w:p>
        </w:tc>
      </w:tr>
      <w:tr>
        <w:trPr>
          <w:trHeight w:val="256"/>
        </w:trPr>
        <w:tc>
          <w:tcPr>
            <w:tcW w:w="8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335,556</w:t>
            </w:r>
          </w:p>
        </w:tc>
      </w:tr>
      <w:tr>
        <w:trPr>
          <w:trHeight w:val="257"/>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Administrative expenses</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477</w:t>
            </w:r>
          </w:p>
        </w:tc>
      </w:tr>
      <w:tr>
        <w:trPr>
          <w:trHeight w:val="250"/>
        </w:trPr>
        <w:tc>
          <w:tcPr>
            <w:tcW w:w="88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20"/>
                <w:szCs w:val="20"/>
                <w:color w:val="auto"/>
              </w:rPr>
              <w:t>Total deductions</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336,033</w:t>
            </w:r>
          </w:p>
        </w:tc>
      </w:tr>
      <w:tr>
        <w:trPr>
          <w:trHeight w:val="250"/>
        </w:trPr>
        <w:tc>
          <w:tcPr>
            <w:tcW w:w="88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Net increase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79,950</w:t>
            </w:r>
          </w:p>
        </w:tc>
      </w:tr>
      <w:tr>
        <w:trPr>
          <w:trHeight w:val="257"/>
        </w:trPr>
        <w:tc>
          <w:tcPr>
            <w:tcW w:w="8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440" w:type="dxa"/>
            <w:vAlign w:val="bottom"/>
          </w:tcPr>
          <w:p>
            <w:pPr>
              <w:spacing w:after="0"/>
              <w:rPr>
                <w:sz w:val="22"/>
                <w:szCs w:val="22"/>
                <w:color w:val="auto"/>
              </w:rPr>
            </w:pPr>
          </w:p>
        </w:tc>
      </w:tr>
      <w:tr>
        <w:trPr>
          <w:trHeight w:val="256"/>
        </w:trPr>
        <w:tc>
          <w:tcPr>
            <w:tcW w:w="8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Beginning of year</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2,743,458</w:t>
            </w:r>
          </w:p>
        </w:tc>
      </w:tr>
      <w:tr>
        <w:trPr>
          <w:trHeight w:val="250"/>
        </w:trPr>
        <w:tc>
          <w:tcPr>
            <w:tcW w:w="88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End of year</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$2,823,408</w:t>
            </w:r>
          </w:p>
        </w:tc>
      </w:tr>
      <w:tr>
        <w:trPr>
          <w:trHeight w:val="21"/>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the Plan</w:t>
      </w:r>
    </w:p>
    <w:p>
      <w:pPr>
        <w:spacing w:after="0" w:line="138" w:lineRule="exact"/>
        <w:rPr>
          <w:rFonts w:ascii="Times New Roman" w:cs="Times New Roman" w:eastAsia="Times New Roman" w:hAnsi="Times New Roman"/>
          <w:sz w:val="20"/>
          <w:szCs w:val="20"/>
          <w:b w:val="1"/>
          <w:bCs w:val="1"/>
          <w:color w:val="auto"/>
        </w:rPr>
      </w:pPr>
    </w:p>
    <w:p>
      <w:pPr>
        <w:jc w:val="both"/>
        <w:ind w:left="50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description of the Air Products and Chemicals, Inc. Retirement Savings Plan (the "Plan") provides only general information about the Plan. Participants should refer to the Summary Plan Description and the Plan Document for a more complete description of the Plan’s provisions. Capitalized terms used but not defined herein have the meanings set forth in the Plan.</w:t>
      </w:r>
    </w:p>
    <w:p>
      <w:pPr>
        <w:spacing w:after="0" w:line="136" w:lineRule="exact"/>
        <w:rPr>
          <w:rFonts w:ascii="Times New Roman" w:cs="Times New Roman" w:eastAsia="Times New Roman" w:hAnsi="Times New Roman"/>
          <w:sz w:val="20"/>
          <w:szCs w:val="20"/>
          <w:b w:val="1"/>
          <w:bCs w:val="1"/>
          <w:color w:val="auto"/>
        </w:rPr>
      </w:pPr>
    </w:p>
    <w:p>
      <w:pPr>
        <w:ind w:left="960" w:hanging="466"/>
        <w:spacing w:after="0"/>
        <w:tabs>
          <w:tab w:leader="none" w:pos="960" w:val="left"/>
        </w:tabs>
        <w:numPr>
          <w:ilvl w:val="1"/>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General</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Plan is a defined-contribution plan sponsored by Air Products and Chemicals, Inc. (the "Company") covering certain full-time and part-time salaried and hourly employees of the Company and designated subsidiaries. The Plan permits participation by employees whose terms and conditions of employment are covered by the terms of a collective bargaining agreement provided such collective bargaining agreement provides for Plan participation. Participants of the Plan are entitled to make before-tax contributions and Roth 401(k) contributions as allowed by Sections 401(k) and 401(m) of the Internal Revenue Code ("IRC") after having completed at least 30 days of service. Company matching contributions are made under IRC Section 401(m). The Plan is subject to the provisions of the Employee Retirement Income Security Act ("ERISA").</w:t>
      </w:r>
    </w:p>
    <w:p>
      <w:pPr>
        <w:spacing w:after="0" w:line="134" w:lineRule="exact"/>
        <w:rPr>
          <w:rFonts w:ascii="Times New Roman" w:cs="Times New Roman" w:eastAsia="Times New Roman" w:hAnsi="Times New Roman"/>
          <w:sz w:val="20"/>
          <w:szCs w:val="20"/>
          <w:b w:val="1"/>
          <w:bCs w:val="1"/>
          <w:i w:val="1"/>
          <w:iCs w:val="1"/>
          <w:color w:val="auto"/>
        </w:rPr>
      </w:pPr>
    </w:p>
    <w:p>
      <w:pPr>
        <w:ind w:left="960" w:hanging="466"/>
        <w:spacing w:after="0"/>
        <w:tabs>
          <w:tab w:leader="none" w:pos="960" w:val="left"/>
        </w:tabs>
        <w:numPr>
          <w:ilvl w:val="1"/>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Administration</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1"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Board of Directors of the Company (the "Board") has delegated oversight for the design and administration of the Plan to its Management Development and Compensation Committee and oversight for the funding and management of assets of the Plan to its Audit and Finance Committee. The Board has delegated authority to the Chief Executive Officer to take such actions as necessary to provide employee pension, retirement savings, or welfare benefits, in accordance with its delegation with respect to the Company’s pension, retirement savings, and welfare benefit plans. The Chief Executive Officer has delegated some of this authority to the Executive Vice President and Chief Human Resources Officer, who has established a Benefits Committee to have fiduciary responsibility for appeals of the denial of benefits in an ERISA plan. The "Plan Administrator" means the Executive Vice President and Chief Human Resources Officer. The Audit and Finance Committee appointed the Pension Investment Committee to supervise, monitor and review the investment performance of the Plan's assets. Fidelity Management Trust ("Fidelity") is the trustee of the Plan. The Pension Investment Committee has appointed Willis Towers Watson to serve as the Plan's investment consultant under the ERISA definition of a 3(21) investment advisor. The Pension Investment Committee also appoints various external investment managers for the management of the Plan’s assets.</w:t>
      </w:r>
    </w:p>
    <w:p>
      <w:pPr>
        <w:spacing w:after="0" w:line="147" w:lineRule="exact"/>
        <w:rPr>
          <w:rFonts w:ascii="Times New Roman" w:cs="Times New Roman" w:eastAsia="Times New Roman" w:hAnsi="Times New Roman"/>
          <w:sz w:val="20"/>
          <w:szCs w:val="20"/>
          <w:b w:val="1"/>
          <w:bCs w:val="1"/>
          <w:i w:val="1"/>
          <w:iCs w:val="1"/>
          <w:color w:val="auto"/>
        </w:rPr>
      </w:pPr>
    </w:p>
    <w:p>
      <w:pPr>
        <w:ind w:left="980" w:hanging="486"/>
        <w:spacing w:after="0"/>
        <w:tabs>
          <w:tab w:leader="none" w:pos="980" w:val="left"/>
        </w:tabs>
        <w:numPr>
          <w:ilvl w:val="1"/>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Participant Accounts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Individual accounts are maintained for each participant of the Plan. Each participant’s account is credited with the participant’s contributions, Company contributions, and allocations of the Plan’s earnings. Participant accounts are also charged with withdrawals and an allocation of Plan losses and administrative expenses. Allocations are based on investment elections made by the participant. The benefit to which a participant is entitled is the benefit that can be provided from the participant’s vested account balance.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p>
      <w:pPr>
        <w:ind w:left="960" w:hanging="466"/>
        <w:spacing w:after="0"/>
        <w:tabs>
          <w:tab w:leader="none" w:pos="96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Contributions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8"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Subject to certain IRC restrictions, participants may elect to contribute to the Plan on a before-tax 401(k) basis or after-tax Roth 401(k) basis from 3% to 50%, in whole percentages, of each participant's compensation, as defined in the Plan Document, through payroll deductions. The before-tax basis allows a participant to defer recognition of income for federal income tax purposes.</w:t>
      </w:r>
    </w:p>
    <w:p>
      <w:pPr>
        <w:spacing w:after="0" w:line="145" w:lineRule="exact"/>
        <w:rPr>
          <w:rFonts w:ascii="Times New Roman" w:cs="Times New Roman" w:eastAsia="Times New Roman" w:hAnsi="Times New Roman"/>
          <w:sz w:val="20"/>
          <w:szCs w:val="20"/>
          <w:b w:val="1"/>
          <w:bCs w:val="1"/>
          <w:i w:val="1"/>
          <w:iCs w:val="1"/>
          <w:color w:val="auto"/>
        </w:rPr>
      </w:pPr>
    </w:p>
    <w:p>
      <w:pPr>
        <w:ind w:left="980" w:right="20"/>
        <w:spacing w:after="0" w:line="269"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Participants who are at least age 50 before the close of the calendar year may make catch-up contributions in accordance with, and subject to the limitations of, IRC Section 414(v).</w:t>
      </w:r>
    </w:p>
    <w:p>
      <w:pPr>
        <w:spacing w:after="0" w:line="132" w:lineRule="exact"/>
        <w:rPr>
          <w:rFonts w:ascii="Times New Roman" w:cs="Times New Roman" w:eastAsia="Times New Roman" w:hAnsi="Times New Roman"/>
          <w:sz w:val="20"/>
          <w:szCs w:val="20"/>
          <w:b w:val="1"/>
          <w:bCs w:val="1"/>
          <w:i w:val="1"/>
          <w:iCs w:val="1"/>
          <w:color w:val="auto"/>
        </w:rPr>
      </w:pPr>
    </w:p>
    <w:p>
      <w:pPr>
        <w:ind w:left="98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Plan is required to return contributions received during the Plan year in excess of the IRC limits.</w:t>
      </w:r>
    </w:p>
    <w:p>
      <w:pPr>
        <w:spacing w:after="0" w:line="188" w:lineRule="exact"/>
        <w:rPr>
          <w:rFonts w:ascii="Times New Roman" w:cs="Times New Roman" w:eastAsia="Times New Roman" w:hAnsi="Times New Roman"/>
          <w:sz w:val="20"/>
          <w:szCs w:val="20"/>
          <w:b w:val="1"/>
          <w:bCs w:val="1"/>
          <w:i w:val="1"/>
          <w:iCs w:val="1"/>
          <w:color w:val="auto"/>
        </w:rPr>
      </w:pPr>
    </w:p>
    <w:p>
      <w:pPr>
        <w:jc w:val="both"/>
        <w:ind w:left="980"/>
        <w:spacing w:after="0" w:line="258"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Company will match certain contributions to the Plan made by participants. The matching contributions are made in accordance with IRC Section 401(a). Effective 1 January 2022, all eligible non-union participants receive the same matching contribution percentage. Subject to the terms of their Collective Bargaining Agreement, union employees may receive matching contributions.</w:t>
      </w:r>
    </w:p>
    <w:p>
      <w:pPr>
        <w:spacing w:after="0" w:line="145"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20"/>
          <w:szCs w:val="20"/>
          <w:color w:val="auto"/>
        </w:rPr>
        <w:t>Company core contributions are cash contributions made by the Company to eligible participants’ accounts in accordance with the participants’ investment direction election. To be eligible for Company core contributions, a participant must be (1) a salaried employee hired or rehired after 31 October 2004, (2) an hourly employee who transferred to a salaried status after 31 October 2004, (3) a nonunion hourly employee hired or rehired after 31 January 2011, (4) an employee who became a nonunion hourly employee after 31 January 2011 due to a change in employment status and is not earning credited service under the Pension Plan for Hourly Rated Employees of Air Products and Chemicals, Inc., (5) a salaried employee who made an irrevocable election to receive Company core contributions under the Plan instead of continuing to earn credited service under the Air Products and Chemicals, Inc. Pension Plan for Salaried Employees, or (6) an employee covered by the terms of a collective bargaining agreement whose terms provide for a Company core contribution after 31 October 2017.</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As of 1 January 2022, the amount of Company core contribution is based on participants’ service and base pay as follows:</w:t>
      </w:r>
    </w:p>
    <w:p>
      <w:pPr>
        <w:spacing w:after="0" w:line="189" w:lineRule="exact"/>
        <w:rPr>
          <w:sz w:val="20"/>
          <w:szCs w:val="20"/>
          <w:color w:val="auto"/>
        </w:rPr>
      </w:pPr>
    </w:p>
    <w:p>
      <w:pPr>
        <w:ind w:left="1940" w:hanging="474"/>
        <w:spacing w:after="0"/>
        <w:tabs>
          <w:tab w:leader="none" w:pos="19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of base pay if credited service is less than 10 years;</w:t>
      </w:r>
    </w:p>
    <w:p>
      <w:pPr>
        <w:spacing w:after="0" w:line="188"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of base pay if credited service is between 10 and 19 years; or</w:t>
      </w:r>
    </w:p>
    <w:p>
      <w:pPr>
        <w:spacing w:after="0" w:line="188"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of base pay if credited service is 20 years or more.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Eligible participants are not required to contribute to the Plan in order to receive the Company core contribution.</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Since 1 January 2022, the Company will match 50% of the first 6% of an eligible Participant's annual salary that is deferred to the Plan as a before-tax contribution or a Roth 401(k) contribution. Catch-up contributions are not eligible for Company matching contributions.</w:t>
      </w:r>
    </w:p>
    <w:p>
      <w:pPr>
        <w:spacing w:after="0" w:line="14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Company matching contributions are invested in the Company's common stock ("Company stock"). Company matching contributions may be transferred by the Plan’s participants to any of the Plan’s other investment options at any time. As such, investment in Company stock is deemed participant directed.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Employee contributions and employer matching contributions are recorded when earned.</w:t>
      </w:r>
    </w:p>
    <w:p>
      <w:pPr>
        <w:spacing w:after="0" w:line="189" w:lineRule="exact"/>
        <w:rPr>
          <w:sz w:val="20"/>
          <w:szCs w:val="20"/>
          <w:color w:val="auto"/>
        </w:rPr>
      </w:pPr>
    </w:p>
    <w:p>
      <w:pPr>
        <w:jc w:val="both"/>
        <w:ind w:left="980"/>
        <w:spacing w:after="0" w:line="251" w:lineRule="auto"/>
        <w:rPr>
          <w:sz w:val="20"/>
          <w:szCs w:val="20"/>
          <w:color w:val="auto"/>
        </w:rPr>
      </w:pPr>
      <w:r>
        <w:rPr>
          <w:rFonts w:ascii="Times New Roman" w:cs="Times New Roman" w:eastAsia="Times New Roman" w:hAnsi="Times New Roman"/>
          <w:sz w:val="20"/>
          <w:szCs w:val="20"/>
          <w:color w:val="auto"/>
        </w:rPr>
        <w:t>On an annual basis, the Company shall ensure that, for participants who are employed by the Company on the last day of the Plan year, the participant's Company matching contribution is equal to the maximum contribution the participant would receive under the Company matching formula for the calendar year based upon the participant’s before-tax and Roth 401(k) contributions for the entire calendar year. The Company will make the appropriate additional Company matching contribution to the Plan as needed. The additional Company matching contributions to provide participants with their maximum amount were $838 and $852 for the Plan years 2025 and 2024, respectively, and are reflected on the statements of net assets available for benefits within "Employer contributions receivable."</w:t>
      </w:r>
    </w:p>
    <w:p>
      <w:pPr>
        <w:spacing w:after="0" w:line="148"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Contribution Percentage Changes</w:t>
      </w:r>
    </w:p>
    <w:p>
      <w:pPr>
        <w:spacing w:after="0" w:line="138" w:lineRule="exact"/>
        <w:rPr>
          <w:rFonts w:ascii="Times New Roman" w:cs="Times New Roman" w:eastAsia="Times New Roman" w:hAnsi="Times New Roman"/>
          <w:sz w:val="20"/>
          <w:szCs w:val="20"/>
          <w:b w:val="1"/>
          <w:bCs w:val="1"/>
          <w:i w:val="1"/>
          <w:iCs w:val="1"/>
          <w:color w:val="auto"/>
        </w:rPr>
      </w:pPr>
    </w:p>
    <w:p>
      <w:pPr>
        <w:ind w:left="98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Contribution percentage changes are effective as soon as administratively possible after receipt of a request from a participant.</w:t>
      </w:r>
    </w:p>
    <w:p>
      <w:pPr>
        <w:spacing w:after="0" w:line="184" w:lineRule="exact"/>
        <w:rPr>
          <w:rFonts w:ascii="Times New Roman" w:cs="Times New Roman" w:eastAsia="Times New Roman" w:hAnsi="Times New Roman"/>
          <w:sz w:val="20"/>
          <w:szCs w:val="20"/>
          <w:b w:val="1"/>
          <w:bCs w:val="1"/>
          <w:i w:val="1"/>
          <w:iCs w:val="1"/>
          <w:color w:val="auto"/>
        </w:rPr>
      </w:pPr>
    </w:p>
    <w:p>
      <w:pPr>
        <w:ind w:left="980" w:hanging="486"/>
        <w:spacing w:after="0"/>
        <w:tabs>
          <w:tab w:leader="none" w:pos="98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Rollovers</w:t>
      </w:r>
    </w:p>
    <w:p>
      <w:pPr>
        <w:spacing w:after="0" w:line="138" w:lineRule="exact"/>
        <w:rPr>
          <w:rFonts w:ascii="Times New Roman" w:cs="Times New Roman" w:eastAsia="Times New Roman" w:hAnsi="Times New Roman"/>
          <w:sz w:val="20"/>
          <w:szCs w:val="20"/>
          <w:b w:val="1"/>
          <w:bCs w:val="1"/>
          <w:i w:val="1"/>
          <w:iCs w:val="1"/>
          <w:color w:val="auto"/>
        </w:rPr>
      </w:pPr>
    </w:p>
    <w:p>
      <w:pPr>
        <w:ind w:left="980" w:right="20"/>
        <w:spacing w:after="0" w:line="28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A participant or any other employee who is entitled to make a rollover contribution to the Plan under the IRC may make a cash contribution to the Plan of all or a portion of any such rollover contribution amount.</w:t>
      </w:r>
    </w:p>
    <w:p>
      <w:pPr>
        <w:spacing w:after="0" w:line="115" w:lineRule="exact"/>
        <w:rPr>
          <w:rFonts w:ascii="Times New Roman" w:cs="Times New Roman" w:eastAsia="Times New Roman" w:hAnsi="Times New Roman"/>
          <w:sz w:val="20"/>
          <w:szCs w:val="20"/>
          <w:b w:val="1"/>
          <w:bCs w:val="1"/>
          <w:i w:val="1"/>
          <w:iCs w:val="1"/>
          <w:color w:val="auto"/>
        </w:rPr>
      </w:pPr>
    </w:p>
    <w:p>
      <w:pPr>
        <w:ind w:left="960" w:hanging="466"/>
        <w:spacing w:after="0"/>
        <w:tabs>
          <w:tab w:leader="none" w:pos="96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Vesting</w:t>
      </w:r>
    </w:p>
    <w:p>
      <w:pPr>
        <w:spacing w:after="0" w:line="138" w:lineRule="exact"/>
        <w:rPr>
          <w:rFonts w:ascii="Times New Roman" w:cs="Times New Roman" w:eastAsia="Times New Roman" w:hAnsi="Times New Roman"/>
          <w:sz w:val="20"/>
          <w:szCs w:val="20"/>
          <w:b w:val="1"/>
          <w:bCs w:val="1"/>
          <w:i w:val="1"/>
          <w:iCs w:val="1"/>
          <w:color w:val="auto"/>
        </w:rPr>
      </w:pPr>
    </w:p>
    <w:p>
      <w:pPr>
        <w:ind w:left="980"/>
        <w:spacing w:after="0" w:line="269"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Participants are immediately vested in 100% of their elected salary deferrals, rollover contributions, the Company’s matching contributions, Company core contributions, and earnings thereon.</w:t>
      </w:r>
    </w:p>
    <w:p>
      <w:pPr>
        <w:spacing w:after="0" w:line="128" w:lineRule="exact"/>
        <w:rPr>
          <w:rFonts w:ascii="Times New Roman" w:cs="Times New Roman" w:eastAsia="Times New Roman" w:hAnsi="Times New Roman"/>
          <w:sz w:val="20"/>
          <w:szCs w:val="20"/>
          <w:b w:val="1"/>
          <w:bCs w:val="1"/>
          <w:i w:val="1"/>
          <w:iCs w:val="1"/>
          <w:color w:val="auto"/>
        </w:rPr>
      </w:pPr>
    </w:p>
    <w:p>
      <w:pPr>
        <w:ind w:left="980" w:hanging="486"/>
        <w:spacing w:after="0"/>
        <w:tabs>
          <w:tab w:leader="none" w:pos="98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Forfeitures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4"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Company can use forfeitures to reduce the costs of administering the Plan. There were no forfeitures used to reduce the costs of administering the Plan in 2025. There were $219 and $213 of unallocated forfeitures at 31 December 2025 and 2024,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p>
      <w:pPr>
        <w:ind w:left="980" w:hanging="486"/>
        <w:spacing w:after="0"/>
        <w:tabs>
          <w:tab w:leader="none" w:pos="980" w:val="left"/>
        </w:tabs>
        <w:numPr>
          <w:ilvl w:val="0"/>
          <w:numId w:val="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Withdrawal Provisions</w:t>
      </w:r>
    </w:p>
    <w:p>
      <w:pPr>
        <w:spacing w:after="0" w:line="138" w:lineRule="exact"/>
        <w:rPr>
          <w:rFonts w:ascii="Times New Roman" w:cs="Times New Roman" w:eastAsia="Times New Roman" w:hAnsi="Times New Roman"/>
          <w:sz w:val="20"/>
          <w:szCs w:val="20"/>
          <w:b w:val="1"/>
          <w:bCs w:val="1"/>
          <w:i w:val="1"/>
          <w:iCs w:val="1"/>
          <w:color w:val="auto"/>
        </w:rPr>
      </w:pPr>
    </w:p>
    <w:p>
      <w:pPr>
        <w:ind w:left="98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Upon application, but no sooner than 12 months after any earlier withdrawal:</w:t>
      </w:r>
    </w:p>
    <w:p>
      <w:pPr>
        <w:spacing w:after="0" w:line="188" w:lineRule="exact"/>
        <w:rPr>
          <w:rFonts w:ascii="Times New Roman" w:cs="Times New Roman" w:eastAsia="Times New Roman" w:hAnsi="Times New Roman"/>
          <w:sz w:val="20"/>
          <w:szCs w:val="20"/>
          <w:b w:val="1"/>
          <w:bCs w:val="1"/>
          <w:i w:val="1"/>
          <w:iCs w:val="1"/>
          <w:color w:val="auto"/>
        </w:rPr>
      </w:pPr>
    </w:p>
    <w:p>
      <w:pPr>
        <w:ind w:left="1960" w:hanging="494"/>
        <w:spacing w:after="0" w:line="269" w:lineRule="auto"/>
        <w:tabs>
          <w:tab w:leader="none" w:pos="195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withdraw all or a portion of after-tax contributions, which have been in the Plan for at least two years;</w:t>
      </w:r>
    </w:p>
    <w:p>
      <w:pPr>
        <w:spacing w:after="0" w:line="132" w:lineRule="exact"/>
        <w:rPr>
          <w:rFonts w:ascii="Times New Roman" w:cs="Times New Roman" w:eastAsia="Times New Roman" w:hAnsi="Times New Roman"/>
          <w:sz w:val="20"/>
          <w:szCs w:val="20"/>
          <w:color w:val="auto"/>
        </w:rPr>
      </w:pPr>
    </w:p>
    <w:p>
      <w:pPr>
        <w:ind w:left="1960" w:hanging="494"/>
        <w:spacing w:after="0" w:line="283" w:lineRule="auto"/>
        <w:tabs>
          <w:tab w:leader="none" w:pos="194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withdrawing all amounts described in subparagraph (a), a participant may withdraw any Company matching contributions, which have been in the Plan for at least two years;</w:t>
      </w:r>
    </w:p>
    <w:p>
      <w:pPr>
        <w:spacing w:after="0" w:line="119" w:lineRule="exact"/>
        <w:rPr>
          <w:rFonts w:ascii="Times New Roman" w:cs="Times New Roman" w:eastAsia="Times New Roman" w:hAnsi="Times New Roman"/>
          <w:sz w:val="20"/>
          <w:szCs w:val="20"/>
          <w:color w:val="auto"/>
        </w:rPr>
      </w:pPr>
    </w:p>
    <w:p>
      <w:pPr>
        <w:ind w:left="1960" w:right="20" w:hanging="494"/>
        <w:spacing w:after="0" w:line="269" w:lineRule="auto"/>
        <w:tabs>
          <w:tab w:leader="none" w:pos="195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withdrawing all amounts described in subparagraphs (a) and (b), a participant may withdraw before-tax contributions, Roth 401(k) contributions, and then vested Company core contributions upon:</w:t>
      </w:r>
    </w:p>
    <w:p>
      <w:pPr>
        <w:spacing w:after="0" w:line="132" w:lineRule="exact"/>
        <w:rPr>
          <w:rFonts w:ascii="Times New Roman" w:cs="Times New Roman" w:eastAsia="Times New Roman" w:hAnsi="Times New Roman"/>
          <w:sz w:val="20"/>
          <w:szCs w:val="20"/>
          <w:color w:val="auto"/>
        </w:rPr>
      </w:pPr>
    </w:p>
    <w:p>
      <w:pPr>
        <w:ind w:left="2760" w:hanging="588"/>
        <w:spacing w:after="0"/>
        <w:tabs>
          <w:tab w:leader="none" w:pos="2760" w:val="left"/>
        </w:tabs>
        <w:numPr>
          <w:ilvl w:val="3"/>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attaining age 59½;</w:t>
      </w:r>
    </w:p>
    <w:p>
      <w:pPr>
        <w:spacing w:after="0" w:line="188" w:lineRule="exact"/>
        <w:rPr>
          <w:rFonts w:ascii="Times New Roman" w:cs="Times New Roman" w:eastAsia="Times New Roman" w:hAnsi="Times New Roman"/>
          <w:sz w:val="20"/>
          <w:szCs w:val="20"/>
          <w:color w:val="auto"/>
        </w:rPr>
      </w:pPr>
    </w:p>
    <w:p>
      <w:pPr>
        <w:jc w:val="both"/>
        <w:ind w:left="2760" w:hanging="643"/>
        <w:spacing w:after="0" w:line="251" w:lineRule="auto"/>
        <w:tabs>
          <w:tab w:leader="none" w:pos="2760" w:val="left"/>
        </w:tabs>
        <w:numPr>
          <w:ilvl w:val="3"/>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satisfactory evidence that the withdrawal is required on account of a “hardship.” Hardship withdrawals will be limited to situations in which a participant has an immediate and heavy financial need and a distribution from the Plan is necessary to meet that need. A participant is not required to take a plan loan from any plan maintained by the Company or an Affiliated Company, as defined by IRC section 414, in order to obtain a hardship distribution. A hardship withdrawal may be made without regard to whether any other withdrawal has occurred within the last 12 months. Hardship distribution provisions treat expenses and losses (including loss of income) incurred by a participant on account of a disaster as an immediate and heavy financial need. To qualify, the Federal Emergency Management Agency ("FEMA") must declare a disaster under the Robert T. Stafford Disaster Relief and Emergency Assistance Act, Public Law 100-707, and the participant’s principal residence or principal place of employment at the time of the disaster must be located in an area designated by FEMA for individual assistance with respect to the disaster;</w:t>
      </w:r>
    </w:p>
    <w:p>
      <w:pPr>
        <w:spacing w:after="0" w:line="151" w:lineRule="exact"/>
        <w:rPr>
          <w:rFonts w:ascii="Times New Roman" w:cs="Times New Roman" w:eastAsia="Times New Roman" w:hAnsi="Times New Roman"/>
          <w:sz w:val="20"/>
          <w:szCs w:val="20"/>
          <w:color w:val="auto"/>
        </w:rPr>
      </w:pPr>
    </w:p>
    <w:p>
      <w:pPr>
        <w:ind w:left="2760" w:hanging="698"/>
        <w:spacing w:after="0"/>
        <w:tabs>
          <w:tab w:leader="none" w:pos="2760" w:val="left"/>
        </w:tabs>
        <w:numPr>
          <w:ilvl w:val="3"/>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Qualified Reservist Distribution; or</w:t>
      </w:r>
    </w:p>
    <w:p>
      <w:pPr>
        <w:spacing w:after="0" w:line="188" w:lineRule="exact"/>
        <w:rPr>
          <w:rFonts w:ascii="Times New Roman" w:cs="Times New Roman" w:eastAsia="Times New Roman" w:hAnsi="Times New Roman"/>
          <w:sz w:val="20"/>
          <w:szCs w:val="20"/>
          <w:color w:val="auto"/>
        </w:rPr>
      </w:pPr>
    </w:p>
    <w:p>
      <w:pPr>
        <w:ind w:left="2740" w:hanging="667"/>
        <w:spacing w:after="0"/>
        <w:tabs>
          <w:tab w:leader="none" w:pos="2740"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distribution pursuant to the Heroes Earnings Assistance and Relief Tax Act of 2008.</w:t>
      </w:r>
    </w:p>
    <w:p>
      <w:pPr>
        <w:spacing w:after="0" w:line="189" w:lineRule="exact"/>
        <w:rPr>
          <w:sz w:val="20"/>
          <w:szCs w:val="20"/>
          <w:color w:val="auto"/>
        </w:rPr>
      </w:pPr>
    </w:p>
    <w:p>
      <w:pPr>
        <w:jc w:val="both"/>
        <w:ind w:left="980"/>
        <w:spacing w:after="0" w:line="251" w:lineRule="auto"/>
        <w:rPr>
          <w:sz w:val="20"/>
          <w:szCs w:val="20"/>
          <w:color w:val="auto"/>
        </w:rPr>
      </w:pPr>
      <w:r>
        <w:rPr>
          <w:rFonts w:ascii="Times New Roman" w:cs="Times New Roman" w:eastAsia="Times New Roman" w:hAnsi="Times New Roman"/>
          <w:sz w:val="20"/>
          <w:szCs w:val="20"/>
          <w:color w:val="auto"/>
        </w:rPr>
        <w:t>A participant, upon separation of employment, is entitled to receive all amounts credited to his or her account, including before-tax, Roth 401(k), after-tax, catch-up, Company matching contributions, and Company core contributions. This distribution will automatically occur on or about 60 days after the end of the month in which employment ends if the participant’s account balance is less than $1. Participants may continue to repay any outstanding loan balances; any outstanding loan balance which is not repaid within 90 days will be treated as a taxable distribution. At the discretion of the Plan Administrator, loan balances may be transferred to a successor employer for participants whose employment ends due to a divestiture of a business or segment of the Company. Participants may elect to rollover distributions directly into another qualified plan or an Individual Retirement Account.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The distribution of a participant's account balance may be deferred until the earlier of age 73 or death. The entire balance of the participant's account is required to be distributed within 10 years following a participant's death, regardless of whether the participant dies before, on, or after the age for required minimum distribution.</w:t>
      </w:r>
    </w:p>
    <w:p>
      <w:pPr>
        <w:spacing w:after="0" w:line="137"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Plan may make a loan or loans to any participant upon electronic request through Fidelity. Loans may be made in an amount that, when added to the outstanding balance of any other loan, will not exceed the lesser of $50 or one half of the present value of the participant’s vested account balance. Participant loans are valued at the sum of the unpaid principal balance, plus accrued and unpaid interest. The loan must be adequately secured, bear a reasonable interest rate, and be repaid within a maximum of five years, unless such loan is for a principal residence, in which case the loan is to be repaid within a maximum of 25 years. The interest rate charged on outstanding participant loans during the Plan year ended 31 December 2025, ranged from 4.25% to 9.50%, with maturities through 2051.</w:t>
      </w:r>
    </w:p>
    <w:p>
      <w:pPr>
        <w:spacing w:after="0" w:line="152" w:lineRule="exact"/>
        <w:rPr>
          <w:rFonts w:ascii="Times New Roman" w:cs="Times New Roman" w:eastAsia="Times New Roman" w:hAnsi="Times New Roman"/>
          <w:sz w:val="20"/>
          <w:szCs w:val="20"/>
          <w:b w:val="1"/>
          <w:bCs w:val="1"/>
          <w:i w:val="1"/>
          <w:iCs w:val="1"/>
          <w:color w:val="auto"/>
        </w:rPr>
      </w:pPr>
    </w:p>
    <w:p>
      <w:pPr>
        <w:ind w:left="980"/>
        <w:spacing w:after="0" w:line="269"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Loan principal and interest repayments are credited directly to the borrowing participant’s plan account and invested in accordance with the participant’s then-current investment directions.</w:t>
      </w:r>
    </w:p>
    <w:p>
      <w:pPr>
        <w:spacing w:after="0" w:line="132" w:lineRule="exact"/>
        <w:rPr>
          <w:rFonts w:ascii="Times New Roman" w:cs="Times New Roman" w:eastAsia="Times New Roman" w:hAnsi="Times New Roman"/>
          <w:sz w:val="20"/>
          <w:szCs w:val="20"/>
          <w:b w:val="1"/>
          <w:bCs w:val="1"/>
          <w:i w:val="1"/>
          <w:iCs w:val="1"/>
          <w:color w:val="auto"/>
        </w:rPr>
      </w:pPr>
    </w:p>
    <w:p>
      <w:pPr>
        <w:jc w:val="both"/>
        <w:ind w:left="980"/>
        <w:spacing w:after="0" w:line="258"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Plan participant loans may be directly rolled over to a qualified plan of a subsequent employer of the participant pursuant to an agreement between the Company and the subsequent employer at the discretion of the Plan Administrator. In addition, loan participants may repay an amount toward the outstanding loan balance at any time in accordance with the procedures established by the Plan Administrator.</w:t>
      </w:r>
    </w:p>
    <w:p>
      <w:pPr>
        <w:spacing w:after="0" w:line="141" w:lineRule="exact"/>
        <w:rPr>
          <w:rFonts w:ascii="Times New Roman" w:cs="Times New Roman" w:eastAsia="Times New Roman" w:hAnsi="Times New Roman"/>
          <w:sz w:val="20"/>
          <w:szCs w:val="20"/>
          <w:b w:val="1"/>
          <w:bCs w:val="1"/>
          <w:i w:val="1"/>
          <w:iCs w:val="1"/>
          <w:color w:val="auto"/>
        </w:rPr>
      </w:pPr>
    </w:p>
    <w:p>
      <w:pPr>
        <w:ind w:left="960" w:hanging="466"/>
        <w:spacing w:after="0"/>
        <w:tabs>
          <w:tab w:leader="none" w:pos="960" w:val="left"/>
        </w:tabs>
        <w:numPr>
          <w:ilvl w:val="0"/>
          <w:numId w:val="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Investment Directions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0"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Participant investment fund elections can be made in increments of 1% provided the percentages total 100%. Designated default funds for the Plan are the State Street Global Advisor Target Retirement Date Funds. Company matching contributions are invested in Company stock, which may be transferred by the Plan’s participants to any other investment option at any time, provided they are not in violation of frequent trading rules as defined in the Summary Plan Description. Participants can elect to have their contributions to the Plan and Company core contributions invested in mutual funds, Company stock, commingled funds, a separately managed account, and a fixed income securities fund offered by the Plan. Participants may also direct their investments through a record keeper sponsored brokerage account ("Fidelity BrokerageLink"), which offers the option to invest in a range of Fidelity and non-Fidelity mutual funds. Interest-bearing cash held in the Fidelity BrokerageLink account is presented separately on the statements of net assets available for benefits.</w:t>
      </w:r>
    </w:p>
    <w:p>
      <w:pPr>
        <w:spacing w:after="0" w:line="152" w:lineRule="exact"/>
        <w:rPr>
          <w:rFonts w:ascii="Times New Roman" w:cs="Times New Roman" w:eastAsia="Times New Roman" w:hAnsi="Times New Roman"/>
          <w:sz w:val="20"/>
          <w:szCs w:val="20"/>
          <w:b w:val="1"/>
          <w:bCs w:val="1"/>
          <w:i w:val="1"/>
          <w:iCs w:val="1"/>
          <w:color w:val="auto"/>
        </w:rPr>
      </w:pPr>
    </w:p>
    <w:p>
      <w:pPr>
        <w:jc w:val="both"/>
        <w:ind w:left="980"/>
        <w:spacing w:after="0" w:line="268"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Participant changes to investment elections can apply to future contributions, accumulated savings, or both. Participant investment election changes completed by 4:00 p.m. (Eastern Time) are effective the same New York Stock Exchange ("NYSE") business day and are reflected in the participant’s account the next NYSE business day.</w:t>
      </w:r>
    </w:p>
    <w:p>
      <w:pPr>
        <w:spacing w:after="0" w:line="120" w:lineRule="exact"/>
        <w:rPr>
          <w:rFonts w:ascii="Times New Roman" w:cs="Times New Roman" w:eastAsia="Times New Roman" w:hAnsi="Times New Roman"/>
          <w:sz w:val="20"/>
          <w:szCs w:val="20"/>
          <w:b w:val="1"/>
          <w:bCs w:val="1"/>
          <w:i w:val="1"/>
          <w:iCs w:val="1"/>
          <w:color w:val="auto"/>
        </w:rPr>
      </w:pPr>
    </w:p>
    <w:p>
      <w:pPr>
        <w:ind w:left="98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Participants may not redirect accumulated savings directly from the fixed income securities fund to Fidelity BrokerageLink.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p>
      <w:pPr>
        <w:ind w:left="920" w:hanging="426"/>
        <w:spacing w:after="0"/>
        <w:tabs>
          <w:tab w:leader="none" w:pos="920" w:val="left"/>
        </w:tabs>
        <w:numPr>
          <w:ilvl w:val="0"/>
          <w:numId w:val="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Secure 2.0 Act of 2022</w:t>
      </w:r>
    </w:p>
    <w:p>
      <w:pPr>
        <w:spacing w:after="0" w:line="13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On 29 December 2022, the SECURE 2.0 Act of 2022 (“SECURE 2.0”) was signed into law. SECURE 2.0 includes provisions intended to expand coverage, increase retirement savings, and simplify and clarify retirement plan rules. There were no significant impacts from the SECURE 2.0 Act on the Plan's operations and financial statements.</w:t>
      </w:r>
    </w:p>
    <w:p>
      <w:pPr>
        <w:spacing w:after="0" w:line="380"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34" w:lineRule="exact"/>
        <w:rPr>
          <w:rFonts w:ascii="Times New Roman" w:cs="Times New Roman" w:eastAsia="Times New Roman" w:hAnsi="Times New Roman"/>
          <w:sz w:val="20"/>
          <w:szCs w:val="20"/>
          <w:b w:val="1"/>
          <w:bCs w:val="1"/>
          <w:color w:val="auto"/>
        </w:rPr>
      </w:pPr>
    </w:p>
    <w:p>
      <w:pPr>
        <w:ind w:left="960" w:hanging="466"/>
        <w:spacing w:after="0"/>
        <w:tabs>
          <w:tab w:leader="none" w:pos="960" w:val="left"/>
        </w:tabs>
        <w:numPr>
          <w:ilvl w:val="1"/>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Basis of Accounting</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8"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financial statements and accompanying footnotes were prepared on the accrual basis of accounting in conformity with accounting principles generally accepted in the United States of America ("GAAP"). The Company has elected to file these financial statements with the Securities and Exchange Commission prepared in conformity with guidelines issued under ERISA, as amended.</w:t>
      </w:r>
    </w:p>
    <w:p>
      <w:pPr>
        <w:spacing w:after="0" w:line="141" w:lineRule="exact"/>
        <w:rPr>
          <w:rFonts w:ascii="Times New Roman" w:cs="Times New Roman" w:eastAsia="Times New Roman" w:hAnsi="Times New Roman"/>
          <w:sz w:val="20"/>
          <w:szCs w:val="20"/>
          <w:b w:val="1"/>
          <w:bCs w:val="1"/>
          <w:i w:val="1"/>
          <w:iCs w:val="1"/>
          <w:color w:val="auto"/>
        </w:rPr>
      </w:pPr>
    </w:p>
    <w:p>
      <w:pPr>
        <w:ind w:left="960" w:hanging="466"/>
        <w:spacing w:after="0"/>
        <w:tabs>
          <w:tab w:leader="none" w:pos="960" w:val="left"/>
        </w:tabs>
        <w:numPr>
          <w:ilvl w:val="1"/>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Use of Estimates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61"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net assets, liabilities and changes therein, and disclosure of contingent assets and liabilities. Actual results could differ from those estimates.</w:t>
      </w:r>
    </w:p>
    <w:p>
      <w:pPr>
        <w:spacing w:after="0" w:line="136" w:lineRule="exact"/>
        <w:rPr>
          <w:rFonts w:ascii="Times New Roman" w:cs="Times New Roman" w:eastAsia="Times New Roman" w:hAnsi="Times New Roman"/>
          <w:sz w:val="20"/>
          <w:szCs w:val="20"/>
          <w:b w:val="1"/>
          <w:bCs w:val="1"/>
          <w:i w:val="1"/>
          <w:iCs w:val="1"/>
          <w:color w:val="auto"/>
        </w:rPr>
      </w:pPr>
    </w:p>
    <w:p>
      <w:pPr>
        <w:ind w:left="980" w:hanging="486"/>
        <w:spacing w:after="0"/>
        <w:tabs>
          <w:tab w:leader="none" w:pos="980" w:val="left"/>
        </w:tabs>
        <w:numPr>
          <w:ilvl w:val="1"/>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Investment Valuation and Income Recognition</w:t>
      </w:r>
    </w:p>
    <w:p>
      <w:pPr>
        <w:spacing w:after="0" w:line="138" w:lineRule="exact"/>
        <w:rPr>
          <w:rFonts w:ascii="Times New Roman" w:cs="Times New Roman" w:eastAsia="Times New Roman" w:hAnsi="Times New Roman"/>
          <w:sz w:val="20"/>
          <w:szCs w:val="20"/>
          <w:b w:val="1"/>
          <w:bCs w:val="1"/>
          <w:i w:val="1"/>
          <w:iCs w:val="1"/>
          <w:color w:val="auto"/>
        </w:rPr>
      </w:pPr>
    </w:p>
    <w:p>
      <w:pPr>
        <w:ind w:left="980" w:right="20"/>
        <w:spacing w:after="0" w:line="269"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 xml:space="preserve">The Plan’s investments are stated at fair value, except for fully benefit-responsive contracts which are carried at contract value (see Note 4, </w:t>
      </w:r>
      <w:r>
        <w:rPr>
          <w:rFonts w:ascii="Times New Roman" w:cs="Times New Roman" w:eastAsia="Times New Roman" w:hAnsi="Times New Roman"/>
          <w:sz w:val="20"/>
          <w:szCs w:val="20"/>
          <w:i w:val="1"/>
          <w:iCs w:val="1"/>
          <w:color w:val="auto"/>
        </w:rPr>
        <w:t>Fixed Income Securities Fund</w:t>
      </w:r>
      <w:r>
        <w:rPr>
          <w:rFonts w:ascii="Times New Roman" w:cs="Times New Roman" w:eastAsia="Times New Roman" w:hAnsi="Times New Roman"/>
          <w:sz w:val="20"/>
          <w:szCs w:val="20"/>
          <w:color w:val="auto"/>
        </w:rPr>
        <w:t>, for additional information). Quoted market prices are used to value investments.</w:t>
      </w:r>
    </w:p>
    <w:p>
      <w:pPr>
        <w:spacing w:after="0" w:line="132" w:lineRule="exact"/>
        <w:rPr>
          <w:rFonts w:ascii="Times New Roman" w:cs="Times New Roman" w:eastAsia="Times New Roman" w:hAnsi="Times New Roman"/>
          <w:sz w:val="20"/>
          <w:szCs w:val="20"/>
          <w:b w:val="1"/>
          <w:bCs w:val="1"/>
          <w:i w:val="1"/>
          <w:iCs w:val="1"/>
          <w:color w:val="auto"/>
        </w:rPr>
      </w:pPr>
    </w:p>
    <w:p>
      <w:pPr>
        <w:jc w:val="both"/>
        <w:ind w:left="980"/>
        <w:spacing w:after="0" w:line="261"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Purchases and sales are recorded on a trade-date basis. Interest is recorded on an accrual basis. Dividends are recorded on the ex-dividend date. Net appreciation on the statement of changes in net assets available for benefits includes the Plan’s gains and losses on investments bought and sold as well as held during the year.</w:t>
      </w:r>
    </w:p>
    <w:p>
      <w:pPr>
        <w:spacing w:after="0" w:line="136" w:lineRule="exact"/>
        <w:rPr>
          <w:rFonts w:ascii="Times New Roman" w:cs="Times New Roman" w:eastAsia="Times New Roman" w:hAnsi="Times New Roman"/>
          <w:sz w:val="20"/>
          <w:szCs w:val="20"/>
          <w:b w:val="1"/>
          <w:bCs w:val="1"/>
          <w:i w:val="1"/>
          <w:iCs w:val="1"/>
          <w:color w:val="auto"/>
        </w:rPr>
      </w:pPr>
    </w:p>
    <w:p>
      <w:pPr>
        <w:ind w:left="960" w:hanging="466"/>
        <w:spacing w:after="0"/>
        <w:tabs>
          <w:tab w:leader="none" w:pos="960" w:val="left"/>
        </w:tabs>
        <w:numPr>
          <w:ilvl w:val="1"/>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5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Investment securities are exposed to various risks, such as interest rate, credit, and overall market volatility risks. Market volatility risks include global events which could impact the value of investment securities, such as a pandemic or international conflict. Due to the level of risk associated with certain investment securities, it is reasonably possible that changes in the values of investment securities will occur in the near term and could materially impact participants’ account balances and the amounts reported in the accompanying statements of net assets available for benefits.</w:t>
      </w:r>
    </w:p>
    <w:p>
      <w:pPr>
        <w:spacing w:after="0" w:line="151" w:lineRule="exact"/>
        <w:rPr>
          <w:rFonts w:ascii="Times New Roman" w:cs="Times New Roman" w:eastAsia="Times New Roman" w:hAnsi="Times New Roman"/>
          <w:sz w:val="20"/>
          <w:szCs w:val="20"/>
          <w:b w:val="1"/>
          <w:bCs w:val="1"/>
          <w:i w:val="1"/>
          <w:iCs w:val="1"/>
          <w:color w:val="auto"/>
        </w:rPr>
      </w:pPr>
    </w:p>
    <w:p>
      <w:pPr>
        <w:jc w:val="both"/>
        <w:ind w:left="980"/>
        <w:spacing w:after="0" w:line="258"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Plan’s exposure to a concentration of credit risk is dependent upon the investment allocations selected by the Plan’s participants. At 31 December 2025 and 2024, 13% and 17%, respectively, of the Plan’s net assets available for benefits were invested in the Company's stock. The underlying value of the Company’s stock is impacted by the performance of the Company, the market’s evaluation of such performance, and other factors.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p>
      <w:pPr>
        <w:ind w:left="980" w:hanging="486"/>
        <w:spacing w:after="0"/>
        <w:tabs>
          <w:tab w:leader="none" w:pos="980" w:val="left"/>
        </w:tabs>
        <w:numPr>
          <w:ilvl w:val="1"/>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Payment of Benefits</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980"/>
        <w:spacing w:after="0" w:line="261"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Benefits are recorded when paid. Amounts allocated to accounts of participants who have elected to withdraw from the Plan, but have not yet been paid, were $6 at 31 December 2025. There was $1,827 allocated to accounts of participants who elected to withdraw from the Plan, but that had not yet been paid at 31 December 2024.</w:t>
      </w:r>
    </w:p>
    <w:p>
      <w:pPr>
        <w:spacing w:after="0" w:line="204" w:lineRule="exact"/>
        <w:rPr>
          <w:rFonts w:ascii="Times New Roman" w:cs="Times New Roman" w:eastAsia="Times New Roman" w:hAnsi="Times New Roman"/>
          <w:sz w:val="20"/>
          <w:szCs w:val="20"/>
          <w:b w:val="1"/>
          <w:bCs w:val="1"/>
          <w:i w:val="1"/>
          <w:iCs w:val="1"/>
          <w:color w:val="auto"/>
        </w:rPr>
      </w:pPr>
    </w:p>
    <w:p>
      <w:pPr>
        <w:ind w:left="480" w:hanging="472"/>
        <w:spacing w:after="0"/>
        <w:tabs>
          <w:tab w:leader="none" w:pos="48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38" w:lineRule="exact"/>
        <w:rPr>
          <w:rFonts w:ascii="Times New Roman" w:cs="Times New Roman" w:eastAsia="Times New Roman" w:hAnsi="Times New Roman"/>
          <w:sz w:val="20"/>
          <w:szCs w:val="20"/>
          <w:b w:val="1"/>
          <w:bCs w:val="1"/>
          <w:color w:val="auto"/>
        </w:rPr>
      </w:pPr>
    </w:p>
    <w:p>
      <w:pPr>
        <w:ind w:left="50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Fair value is defined as an exit price, or the price that would be received to sell an asset or paid to transfer a liability in an orderly transaction between market participants at the measurement date.</w:t>
      </w:r>
    </w:p>
    <w:p>
      <w:pPr>
        <w:spacing w:after="0" w:line="132"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fair value hierarchy prioritizes the inputs to valuation techniques used to measure fair value into three broad levels as follows:</w:t>
      </w:r>
    </w:p>
    <w:p>
      <w:pPr>
        <w:spacing w:after="0" w:line="184" w:lineRule="exact"/>
        <w:rPr>
          <w:rFonts w:ascii="Times New Roman" w:cs="Times New Roman" w:eastAsia="Times New Roman" w:hAnsi="Times New Roman"/>
          <w:sz w:val="20"/>
          <w:szCs w:val="20"/>
          <w:b w:val="1"/>
          <w:bCs w:val="1"/>
          <w:color w:val="auto"/>
        </w:rPr>
      </w:pPr>
    </w:p>
    <w:p>
      <w:pPr>
        <w:ind w:left="1620" w:hanging="478"/>
        <w:spacing w:after="0"/>
        <w:tabs>
          <w:tab w:leader="none" w:pos="162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Quoted prices (unadjusted) in active markets for identical assets or liabilities.</w:t>
      </w:r>
    </w:p>
    <w:p>
      <w:pPr>
        <w:spacing w:after="0" w:line="188" w:lineRule="exact"/>
        <w:rPr>
          <w:rFonts w:ascii="Times New Roman" w:cs="Times New Roman" w:eastAsia="Times New Roman" w:hAnsi="Times New Roman"/>
          <w:sz w:val="20"/>
          <w:szCs w:val="20"/>
          <w:color w:val="auto"/>
        </w:rPr>
      </w:pPr>
    </w:p>
    <w:p>
      <w:pPr>
        <w:ind w:left="1620" w:hanging="478"/>
        <w:spacing w:after="0" w:line="287" w:lineRule="auto"/>
        <w:tabs>
          <w:tab w:leader="none" w:pos="1608"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Inputs that are observable for the asset or liability, either directly or indirectly through market corroboration,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substantially the full term of the asset or liability.</w:t>
      </w:r>
    </w:p>
    <w:p>
      <w:pPr>
        <w:spacing w:after="0" w:line="111" w:lineRule="exact"/>
        <w:rPr>
          <w:rFonts w:ascii="Times New Roman" w:cs="Times New Roman" w:eastAsia="Times New Roman" w:hAnsi="Times New Roman"/>
          <w:sz w:val="20"/>
          <w:szCs w:val="20"/>
          <w:color w:val="auto"/>
        </w:rPr>
      </w:pPr>
    </w:p>
    <w:p>
      <w:pPr>
        <w:ind w:left="1620" w:hanging="478"/>
        <w:spacing w:after="0" w:line="273" w:lineRule="auto"/>
        <w:tabs>
          <w:tab w:leader="none" w:pos="1608"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 Inputs that are unobservable for the asset or liability based on the Company’s own assumptions about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assumptions market participants would use in pricing the asset or liability.</w:t>
      </w:r>
    </w:p>
    <w:p>
      <w:pPr>
        <w:spacing w:after="0" w:line="12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20"/>
          <w:szCs w:val="20"/>
          <w:color w:val="auto"/>
        </w:rPr>
        <w:t>If the inputs used to measure the financial assets and liabilities fall within more than one level described above, the categorization is based on the lowest level input that is significant to the fair value measurement of the instrument. Within the Plan, investments are recorded at fair value as follows:</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Interest-bearing Cash</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carrying amounts of cash and cash equivalents approximate fair value due to short-term maturity.</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Mutual Funds</w:t>
      </w:r>
    </w:p>
    <w:p>
      <w:pPr>
        <w:spacing w:after="0" w:line="58"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Shares of mutual funds are valued at the daily closing price as reported by the fund. The mutual funds are required to publish their daily net asset value ("NAV") and to transact at that price. The mutual funds are deemed to be actively traded and are classified as Level 1 assets.</w:t>
      </w:r>
    </w:p>
    <w:p>
      <w:pPr>
        <w:spacing w:after="0" w:line="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Commingled Funds</w:t>
      </w:r>
    </w:p>
    <w:p>
      <w:pPr>
        <w:spacing w:after="0" w:line="7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Commingled funds are valued at NAV, determined by each fund's trustee based on the fair value of the underlying securities within the funds, which are traded on active markets. The commingled funds are not subject to redemption restrictions and are classified as Level 1 assets.</w:t>
      </w:r>
    </w:p>
    <w:p>
      <w:pPr>
        <w:spacing w:after="0" w:line="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Company Stock</w:t>
      </w:r>
    </w:p>
    <w:p>
      <w:pPr>
        <w:spacing w:after="0" w:line="71"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20"/>
          <w:szCs w:val="20"/>
          <w:color w:val="auto"/>
        </w:rPr>
        <w:t>Company stock is valued based on the number of shares held by the Plan at period-end multiplied by the closing price of the Company’s stock on the NYSE and, therefore, classified as a Level 1 asset.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Separately Managed Account</w:t>
      </w:r>
    </w:p>
    <w:p>
      <w:pPr>
        <w:spacing w:after="0" w:line="71"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20"/>
          <w:szCs w:val="20"/>
          <w:color w:val="auto"/>
        </w:rPr>
        <w:t>The separately managed account, managed on behalf of participants, consists of a portfolio of individual securities (equity securities). The Plan directly owns the individual equity securities. The individual assets of the fund are held in the name of the Plan and are considered separately as individual investments for accounting, auditing and financial statement reporting purposes. The portfolio of individual equity securities are valued based on the closing price reported on the active market on which the individual securities are traded and are classified as Level 1 assets.</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Self-directed Brokerage Account</w:t>
      </w:r>
    </w:p>
    <w:p>
      <w:pPr>
        <w:spacing w:after="0" w:line="58"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20"/>
          <w:szCs w:val="20"/>
          <w:color w:val="auto"/>
        </w:rPr>
        <w:t>The self-directed brokerage account consists entirely of actively traded mutual funds, which are valued at the daily closing price as reported by the fund. The mutual funds are required to publish their daily NAV and to transact at that price. The mutual funds are deemed to be actively traded and are classified as Level 1 assets.</w:t>
      </w:r>
    </w:p>
    <w:p>
      <w:pPr>
        <w:spacing w:after="0" w:line="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Fixed Income Securities Fund</w:t>
      </w:r>
    </w:p>
    <w:p>
      <w:pPr>
        <w:spacing w:after="0" w:line="58" w:lineRule="exact"/>
        <w:rPr>
          <w:sz w:val="20"/>
          <w:szCs w:val="20"/>
          <w:color w:val="auto"/>
        </w:rPr>
      </w:pPr>
    </w:p>
    <w:p>
      <w:pPr>
        <w:jc w:val="both"/>
        <w:ind w:left="980"/>
        <w:spacing w:after="0" w:line="283" w:lineRule="auto"/>
        <w:rPr>
          <w:sz w:val="20"/>
          <w:szCs w:val="20"/>
          <w:color w:val="auto"/>
        </w:rPr>
      </w:pPr>
      <w:r>
        <w:rPr>
          <w:rFonts w:ascii="Times New Roman" w:cs="Times New Roman" w:eastAsia="Times New Roman" w:hAnsi="Times New Roman"/>
          <w:sz w:val="20"/>
          <w:szCs w:val="20"/>
          <w:color w:val="auto"/>
        </w:rPr>
        <w:t xml:space="preserve">The fixed income securities fund invests in fully-benefit responsive investment contracts that are held at contract value. See Note 4, </w:t>
      </w:r>
      <w:r>
        <w:rPr>
          <w:rFonts w:ascii="Times New Roman" w:cs="Times New Roman" w:eastAsia="Times New Roman" w:hAnsi="Times New Roman"/>
          <w:sz w:val="20"/>
          <w:szCs w:val="20"/>
          <w:i w:val="1"/>
          <w:iCs w:val="1"/>
          <w:color w:val="auto"/>
        </w:rPr>
        <w:t>Fixed Income Securities Fund</w:t>
      </w:r>
      <w:r>
        <w:rPr>
          <w:rFonts w:ascii="Times New Roman" w:cs="Times New Roman" w:eastAsia="Times New Roman" w:hAnsi="Times New Roman"/>
          <w:sz w:val="20"/>
          <w:szCs w:val="20"/>
          <w:color w:val="auto"/>
        </w:rPr>
        <w:t>, for additional information on the fund.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tbl>
      <w:tblPr>
        <w:tblLayout w:type="fixed"/>
        <w:tblInd w:w="500" w:type="dxa"/>
        <w:tblCellMar>
          <w:top w:w="0" w:type="dxa"/>
          <w:left w:w="0" w:type="dxa"/>
          <w:bottom w:w="0" w:type="dxa"/>
          <w:right w:w="0" w:type="dxa"/>
        </w:tblCellMar>
      </w:tblPr>
      <w:tr>
        <w:trPr>
          <w:trHeight w:val="262"/>
        </w:trPr>
        <w:tc>
          <w:tcPr>
            <w:tcW w:w="45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Measured at Fair Value</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64"/>
        </w:trPr>
        <w:tc>
          <w:tcPr>
            <w:tcW w:w="7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Investments measured at fair value at 31 December 2025 and 2024 are summarized below:</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7"/>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681"/>
              <w:spacing w:after="0"/>
              <w:rPr>
                <w:sz w:val="20"/>
                <w:szCs w:val="20"/>
                <w:color w:val="auto"/>
              </w:rPr>
            </w:pPr>
            <w:r>
              <w:rPr>
                <w:rFonts w:ascii="Times New Roman" w:cs="Times New Roman" w:eastAsia="Times New Roman" w:hAnsi="Times New Roman"/>
                <w:sz w:val="20"/>
                <w:szCs w:val="20"/>
                <w:color w:val="auto"/>
              </w:rPr>
              <w:t>31 December 2025</w:t>
            </w:r>
          </w:p>
        </w:tc>
        <w:tc>
          <w:tcPr>
            <w:tcW w:w="1200" w:type="dxa"/>
            <w:vAlign w:val="bottom"/>
            <w:tcBorders>
              <w:bottom w:val="single" w:sz="8" w:color="auto"/>
            </w:tcBorders>
          </w:tcPr>
          <w:p>
            <w:pPr>
              <w:spacing w:after="0"/>
              <w:rPr>
                <w:sz w:val="24"/>
                <w:szCs w:val="24"/>
                <w:color w:val="auto"/>
              </w:rPr>
            </w:pPr>
          </w:p>
        </w:tc>
      </w:tr>
      <w:tr>
        <w:trPr>
          <w:trHeight w:val="254"/>
        </w:trPr>
        <w:tc>
          <w:tcPr>
            <w:tcW w:w="45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Total</w:t>
            </w:r>
          </w:p>
        </w:tc>
        <w:tc>
          <w:tcPr>
            <w:tcW w:w="15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Level 1</w:t>
            </w:r>
          </w:p>
        </w:tc>
        <w:tc>
          <w:tcPr>
            <w:tcW w:w="14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Level 2</w:t>
            </w:r>
          </w:p>
        </w:tc>
        <w:tc>
          <w:tcPr>
            <w:tcW w:w="12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Level 3</w:t>
            </w: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7"/>
        </w:trPr>
        <w:tc>
          <w:tcPr>
            <w:tcW w:w="4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Interest-bearing cash</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$26,017</w:t>
            </w: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$26,017</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Mutual funds</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324,930</w:t>
            </w:r>
          </w:p>
        </w:tc>
        <w:tc>
          <w:tcPr>
            <w:tcW w:w="15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324,930</w:t>
            </w:r>
          </w:p>
        </w:tc>
        <w:tc>
          <w:tcPr>
            <w:tcW w:w="1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Commingled funds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1,716,352</w:t>
            </w: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1,716,352</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Company stock</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366,605</w:t>
            </w:r>
          </w:p>
        </w:tc>
        <w:tc>
          <w:tcPr>
            <w:tcW w:w="15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366,605</w:t>
            </w:r>
          </w:p>
        </w:tc>
        <w:tc>
          <w:tcPr>
            <w:tcW w:w="1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Separately managed account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130,392</w:t>
            </w: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130,392</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86,987</w:t>
            </w:r>
          </w:p>
        </w:tc>
        <w:tc>
          <w:tcPr>
            <w:tcW w:w="15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86,987</w:t>
            </w:r>
          </w:p>
        </w:tc>
        <w:tc>
          <w:tcPr>
            <w:tcW w:w="140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$2,651,283</w:t>
            </w:r>
          </w:p>
        </w:tc>
        <w:tc>
          <w:tcPr>
            <w:tcW w:w="1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$2,651,283</w:t>
            </w:r>
          </w:p>
        </w:tc>
        <w:tc>
          <w:tcPr>
            <w:tcW w:w="14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contract value:</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6"/>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Fixed income securities fund</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149,506</w:t>
            </w:r>
          </w:p>
        </w:tc>
        <w:tc>
          <w:tcPr>
            <w:tcW w:w="15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5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Investments</w:t>
            </w:r>
          </w:p>
        </w:tc>
        <w:tc>
          <w:tcPr>
            <w:tcW w:w="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$2,800,789</w:t>
            </w:r>
          </w:p>
        </w:tc>
        <w:tc>
          <w:tcPr>
            <w:tcW w:w="15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354"/>
        </w:trPr>
        <w:tc>
          <w:tcPr>
            <w:tcW w:w="4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701"/>
              <w:spacing w:after="0"/>
              <w:rPr>
                <w:sz w:val="20"/>
                <w:szCs w:val="20"/>
                <w:color w:val="auto"/>
              </w:rPr>
            </w:pPr>
            <w:r>
              <w:rPr>
                <w:rFonts w:ascii="Times New Roman" w:cs="Times New Roman" w:eastAsia="Times New Roman" w:hAnsi="Times New Roman"/>
                <w:sz w:val="20"/>
                <w:szCs w:val="20"/>
                <w:color w:val="auto"/>
              </w:rPr>
              <w:t>31 December 2024</w:t>
            </w:r>
          </w:p>
        </w:tc>
        <w:tc>
          <w:tcPr>
            <w:tcW w:w="1200" w:type="dxa"/>
            <w:vAlign w:val="bottom"/>
            <w:tcBorders>
              <w:bottom w:val="single" w:sz="8" w:color="auto"/>
            </w:tcBorders>
          </w:tcPr>
          <w:p>
            <w:pPr>
              <w:spacing w:after="0"/>
              <w:rPr>
                <w:sz w:val="24"/>
                <w:szCs w:val="24"/>
                <w:color w:val="auto"/>
              </w:rPr>
            </w:pPr>
          </w:p>
        </w:tc>
      </w:tr>
      <w:tr>
        <w:trPr>
          <w:trHeight w:val="254"/>
        </w:trPr>
        <w:tc>
          <w:tcPr>
            <w:tcW w:w="45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Total</w:t>
            </w:r>
          </w:p>
        </w:tc>
        <w:tc>
          <w:tcPr>
            <w:tcW w:w="15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Level 1</w:t>
            </w:r>
          </w:p>
        </w:tc>
        <w:tc>
          <w:tcPr>
            <w:tcW w:w="14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Level 2</w:t>
            </w:r>
          </w:p>
        </w:tc>
        <w:tc>
          <w:tcPr>
            <w:tcW w:w="12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Level 3</w:t>
            </w:r>
          </w:p>
        </w:tc>
      </w:tr>
      <w:tr>
        <w:trPr>
          <w:trHeight w:val="23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6"/>
        </w:trPr>
        <w:tc>
          <w:tcPr>
            <w:tcW w:w="4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Interest-bearing cash</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$18,983</w:t>
            </w: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$18,983</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Mutual funds</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303,645</w:t>
            </w:r>
          </w:p>
        </w:tc>
        <w:tc>
          <w:tcPr>
            <w:tcW w:w="15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303,645</w:t>
            </w:r>
          </w:p>
        </w:tc>
        <w:tc>
          <w:tcPr>
            <w:tcW w:w="1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4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Commingled funds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1,543,041</w:t>
            </w: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1,543,041</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Company stock</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458,761</w:t>
            </w:r>
          </w:p>
        </w:tc>
        <w:tc>
          <w:tcPr>
            <w:tcW w:w="15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458,761</w:t>
            </w:r>
          </w:p>
        </w:tc>
        <w:tc>
          <w:tcPr>
            <w:tcW w:w="1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Separately managed account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141,575</w:t>
            </w: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141,575</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79,217</w:t>
            </w:r>
          </w:p>
        </w:tc>
        <w:tc>
          <w:tcPr>
            <w:tcW w:w="15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79,217</w:t>
            </w:r>
          </w:p>
        </w:tc>
        <w:tc>
          <w:tcPr>
            <w:tcW w:w="140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$2,545,222</w:t>
            </w:r>
          </w:p>
        </w:tc>
        <w:tc>
          <w:tcPr>
            <w:tcW w:w="1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$2,545,222</w:t>
            </w:r>
          </w:p>
        </w:tc>
        <w:tc>
          <w:tcPr>
            <w:tcW w:w="14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contract value:</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7"/>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Fixed income securities fund</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175,762</w:t>
            </w:r>
          </w:p>
        </w:tc>
        <w:tc>
          <w:tcPr>
            <w:tcW w:w="15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75"/>
        </w:trPr>
        <w:tc>
          <w:tcPr>
            <w:tcW w:w="4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Investments</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2,720,984</w:t>
            </w:r>
          </w:p>
        </w:tc>
        <w:tc>
          <w:tcPr>
            <w:tcW w:w="15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Fixed Income Securities Fund</w:t>
      </w:r>
    </w:p>
    <w:p>
      <w:pPr>
        <w:spacing w:after="0" w:line="139"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0"/>
          <w:szCs w:val="20"/>
          <w:color w:val="auto"/>
        </w:rPr>
        <w:t xml:space="preserve">Contributions made to the fixed income securities fund (the "Fund") are invested in benefit responsive investment contracts, which may include traditional investment contracts issued by insurance companies and other financial institutions or synthetic investment contracts. Synthetic contracts consist of short- to intermediate-term fixed income securities that are “wrapped” by third-party financial institutions to provide guarantees of principal and a specified interest rate yield. The contract issuers of the traditional investment contracts and the wrap providers are highly rated financial institutions. The contracts held in the Fund as of 31 December 2025 and 2024 are synthetic contracts and deemed fully benefit-responsive as they provide that the Plan’s participants may make withdrawals at contract value. As described in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contract value is the relevant measurement attributable for the contracts held in the Fund because the contracts are deemed fully benefit-responsive. Contract value represents contributions made under the contract, plus earnings, less participant withdrawals and administrative expenses.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9" w:lineRule="exact"/>
        <w:rPr>
          <w:sz w:val="20"/>
          <w:szCs w:val="20"/>
          <w:color w:val="auto"/>
        </w:rPr>
      </w:pPr>
    </w:p>
    <w:p>
      <w:pPr>
        <w:jc w:val="both"/>
        <w:ind w:left="500"/>
        <w:spacing w:after="0" w:line="283" w:lineRule="auto"/>
        <w:rPr>
          <w:sz w:val="20"/>
          <w:szCs w:val="20"/>
          <w:color w:val="auto"/>
        </w:rPr>
      </w:pPr>
      <w:r>
        <w:rPr>
          <w:rFonts w:ascii="Times New Roman" w:cs="Times New Roman" w:eastAsia="Times New Roman" w:hAnsi="Times New Roman"/>
          <w:sz w:val="20"/>
          <w:szCs w:val="20"/>
          <w:color w:val="auto"/>
        </w:rPr>
        <w:t>No valuation reserves were recorded against the contract value for credit risk of the contract issuers or otherwise for the Fund at 31 December 2025 and 2024.</w:t>
      </w:r>
    </w:p>
    <w:p>
      <w:pPr>
        <w:spacing w:after="0" w:line="11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20"/>
          <w:szCs w:val="20"/>
          <w:color w:val="auto"/>
        </w:rPr>
        <w:t>Key factors that could influence future average interest crediting rates include, but are not limited to the following: the Fund's cash flows, changes in interest rates, total return performance of the bond strategies underlying each of the Fund’s contracts, and default or credit failures of any of the securities, investment contracts, or other investments held in the Fund.</w:t>
      </w:r>
    </w:p>
    <w:p>
      <w:pPr>
        <w:spacing w:after="0" w:line="141"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20"/>
          <w:szCs w:val="20"/>
          <w:color w:val="auto"/>
        </w:rPr>
        <w:t>Participants may ordinarily direct the withdrawal or transfer of all or a portion of their investment at contract value. Certain events, although considered unlikely and not probable, such as a change in administration or operation of the Plan or the Fund, group terminations, layoffs, or exclusion of group eligibility in the Plan, may limit the ability of participants to access their investments at contract value. The contract issuers may terminate the contracts in the unlikely event of a default by the Plan.</w:t>
      </w:r>
    </w:p>
    <w:p>
      <w:pPr>
        <w:spacing w:after="0" w:line="210"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 Status</w:t>
      </w:r>
    </w:p>
    <w:p>
      <w:pPr>
        <w:spacing w:after="0" w:line="138" w:lineRule="exact"/>
        <w:rPr>
          <w:rFonts w:ascii="Times New Roman" w:cs="Times New Roman" w:eastAsia="Times New Roman" w:hAnsi="Times New Roman"/>
          <w:sz w:val="20"/>
          <w:szCs w:val="20"/>
          <w:b w:val="1"/>
          <w:bCs w:val="1"/>
          <w:color w:val="auto"/>
        </w:rPr>
      </w:pPr>
    </w:p>
    <w:p>
      <w:pPr>
        <w:jc w:val="both"/>
        <w:ind w:left="50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Internal Revenue Service has determined and informed the Company, by letter dated 16 February 2017, that the Plan is designed in accordance with applicable sections of the IRC. The determination letter covered Plan amendments adopted through 14 December 2015. Although the Plan has been amended since receiving the determination letter, the Plan Administrator and the Plan’s tax counsel believe that the Plan is designed and is currently being operated in compliance with the applicable requirements of the IRC and, therefore, believe that the Plan is qualified as tax-exempt.</w:t>
      </w:r>
    </w:p>
    <w:p>
      <w:pPr>
        <w:spacing w:after="0" w:line="214"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 of the Plan</w:t>
      </w:r>
    </w:p>
    <w:p>
      <w:pPr>
        <w:spacing w:after="0" w:line="138" w:lineRule="exact"/>
        <w:rPr>
          <w:rFonts w:ascii="Times New Roman" w:cs="Times New Roman" w:eastAsia="Times New Roman" w:hAnsi="Times New Roman"/>
          <w:sz w:val="20"/>
          <w:szCs w:val="20"/>
          <w:b w:val="1"/>
          <w:bCs w:val="1"/>
          <w:color w:val="auto"/>
        </w:rPr>
      </w:pPr>
    </w:p>
    <w:p>
      <w:pPr>
        <w:jc w:val="both"/>
        <w:ind w:left="50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has paid all reasonable third-party fees and expenses for administration of the Plan, including (but not limited to) trustee fees, record-keeping fees, investment consulting fees, and proxy voting fees. Such expenses may be assessed to participant accounts as a quarterly administrative charge. Expenses incident to the management of the Plan’s investments are deducted from the earnings of the respective investments. Audit fees and communication expenses are paid by the Company.</w:t>
      </w:r>
    </w:p>
    <w:p>
      <w:pPr>
        <w:spacing w:after="0" w:line="195"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Plan Termination</w:t>
      </w:r>
    </w:p>
    <w:p>
      <w:pPr>
        <w:spacing w:after="0" w:line="138" w:lineRule="exact"/>
        <w:rPr>
          <w:rFonts w:ascii="Times New Roman" w:cs="Times New Roman" w:eastAsia="Times New Roman" w:hAnsi="Times New Roman"/>
          <w:sz w:val="20"/>
          <w:szCs w:val="20"/>
          <w:b w:val="1"/>
          <w:bCs w:val="1"/>
          <w:color w:val="auto"/>
        </w:rPr>
      </w:pPr>
    </w:p>
    <w:p>
      <w:pPr>
        <w:ind w:left="500" w:right="2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Although it has not expressed any intent to do so, the Company has the right under the Plan to discontinue its contributions at any time and to terminate the Plan subject to the provisions of ERISA.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Party-In-Interest Transactions</w:t>
      </w:r>
    </w:p>
    <w:p>
      <w:pPr>
        <w:spacing w:after="0" w:line="134"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u w:val="single" w:color="auto"/>
          <w:color w:val="auto"/>
        </w:rPr>
        <w:t>Related-Party and Exempt Party-In-Interest Transactions</w:t>
      </w:r>
    </w:p>
    <w:p>
      <w:pPr>
        <w:spacing w:after="0" w:line="138" w:lineRule="exact"/>
        <w:rPr>
          <w:rFonts w:ascii="Times New Roman" w:cs="Times New Roman" w:eastAsia="Times New Roman" w:hAnsi="Times New Roman"/>
          <w:sz w:val="20"/>
          <w:szCs w:val="20"/>
          <w:b w:val="1"/>
          <w:bCs w:val="1"/>
          <w:color w:val="auto"/>
        </w:rPr>
      </w:pPr>
    </w:p>
    <w:p>
      <w:pPr>
        <w:jc w:val="both"/>
        <w:ind w:left="50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holds Company stock, representing qualifying equity securities as defined by ERISA. The Plan held Company stock valued at $366,605 and $458,761 at 31 December 2025 and 2024, representing 13% and 17% of net assets available for benefits, respectively. At 31 December 2025 and 2024, the Plan held 1,483,987 and 1,581,614 shares of Company stock with a cost basis of $233,266 and $230,007, respectively. The Plan recorded dividend income of $10,791 and $12,280 received from dividends on Company stock during the Plan year ended 31 December 2025 and 2024, respectively.</w:t>
      </w:r>
    </w:p>
    <w:p>
      <w:pPr>
        <w:spacing w:after="0" w:line="97" w:lineRule="exact"/>
        <w:rPr>
          <w:rFonts w:ascii="Times New Roman" w:cs="Times New Roman" w:eastAsia="Times New Roman" w:hAnsi="Times New Roman"/>
          <w:sz w:val="20"/>
          <w:szCs w:val="20"/>
          <w:b w:val="1"/>
          <w:bCs w:val="1"/>
          <w:color w:val="auto"/>
        </w:rPr>
      </w:pPr>
    </w:p>
    <w:p>
      <w:pPr>
        <w:jc w:val="both"/>
        <w:ind w:left="50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 investments include shares of funds managed by Fidelity. Fidelity is the trustee and record keeper, as defined by the Plan. Therefore, these transactions qualify as exempt party-in-interest transactions. Fees paid for investment management services were included as a reduction of the return earned on each fund. The Plan's investments in funds managed by Fidelity are valued at $655,469 and $594,680 at 31 December 2025 and 2024, representing 23% and 22% of net assets available for benefits, respectively.</w:t>
      </w:r>
    </w:p>
    <w:p>
      <w:pPr>
        <w:spacing w:after="0" w:line="91"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also issues loans to participants, which are secured by the vested balances in the participants’ accounts.</w:t>
      </w:r>
    </w:p>
    <w:p>
      <w:pPr>
        <w:spacing w:after="0" w:line="238"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u w:val="single" w:color="auto"/>
          <w:color w:val="auto"/>
        </w:rPr>
        <w:t>Nonexempt Party-In-Interest Transactions</w:t>
      </w:r>
    </w:p>
    <w:p>
      <w:pPr>
        <w:spacing w:after="0" w:line="138" w:lineRule="exact"/>
        <w:rPr>
          <w:rFonts w:ascii="Times New Roman" w:cs="Times New Roman" w:eastAsia="Times New Roman" w:hAnsi="Times New Roman"/>
          <w:sz w:val="20"/>
          <w:szCs w:val="20"/>
          <w:b w:val="1"/>
          <w:bCs w:val="1"/>
          <w:color w:val="auto"/>
        </w:rPr>
      </w:pPr>
    </w:p>
    <w:p>
      <w:pPr>
        <w:jc w:val="both"/>
        <w:ind w:left="500"/>
        <w:spacing w:after="0" w:line="248" w:lineRule="exact"/>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 remitted certain 2024 participant contributions of $102 to the trustee later than required by Department of Labor (DOL) Regulation 2510.3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 The Company corrected the matter in 2024 by remitting the contributions and crediting affected participants with lost earnings. The Company subsequently filed Form 5330 with the IRS and paid the required penalties and excise tax in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As of 31 December 2025 and 2024, and for the Year Ended 31 December 2025</w:t>
      </w:r>
    </w:p>
    <w:p>
      <w:pPr>
        <w:spacing w:after="0" w:line="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(In thousands, except for share data)</w:t>
      </w:r>
    </w:p>
    <w:p>
      <w:pPr>
        <w:spacing w:after="0" w:line="200" w:lineRule="exact"/>
        <w:rPr>
          <w:sz w:val="20"/>
          <w:szCs w:val="20"/>
          <w:color w:val="auto"/>
        </w:rPr>
      </w:pPr>
    </w:p>
    <w:p>
      <w:pPr>
        <w:spacing w:after="0" w:line="295"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Reconciliations of Financial Statements to Form 5500</w:t>
      </w:r>
    </w:p>
    <w:p>
      <w:pPr>
        <w:spacing w:after="0" w:line="138" w:lineRule="exact"/>
        <w:rPr>
          <w:rFonts w:ascii="Times New Roman" w:cs="Times New Roman" w:eastAsia="Times New Roman" w:hAnsi="Times New Roman"/>
          <w:sz w:val="20"/>
          <w:szCs w:val="20"/>
          <w:b w:val="1"/>
          <w:bCs w:val="1"/>
          <w:color w:val="auto"/>
        </w:rPr>
      </w:pPr>
    </w:p>
    <w:p>
      <w:pPr>
        <w:ind w:left="500" w:right="280"/>
        <w:spacing w:after="0" w:line="26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is a reconciliation of net assets available for benefits per the financial statements at 31 December 2025 and 2024 to Form 5500:</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62"/>
        </w:trPr>
        <w:tc>
          <w:tcPr>
            <w:tcW w:w="6980" w:type="dxa"/>
            <w:vAlign w:val="bottom"/>
          </w:tcPr>
          <w:p>
            <w:pPr>
              <w:spacing w:after="0"/>
              <w:rPr>
                <w:sz w:val="22"/>
                <w:szCs w:val="22"/>
                <w:color w:val="auto"/>
              </w:rPr>
            </w:pPr>
          </w:p>
        </w:tc>
        <w:tc>
          <w:tcPr>
            <w:tcW w:w="15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2"/>
                <w:szCs w:val="22"/>
                <w:color w:val="auto"/>
              </w:rPr>
            </w:pPr>
          </w:p>
        </w:tc>
        <w:tc>
          <w:tcPr>
            <w:tcW w:w="15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38"/>
        </w:trPr>
        <w:tc>
          <w:tcPr>
            <w:tcW w:w="69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 per the financial statements</w:t>
            </w:r>
          </w:p>
        </w:tc>
        <w:tc>
          <w:tcPr>
            <w:tcW w:w="1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20"/>
                <w:szCs w:val="20"/>
                <w:color w:val="auto"/>
              </w:rPr>
              <w:t>$2,823,408</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20"/>
                <w:szCs w:val="20"/>
                <w:color w:val="auto"/>
              </w:rPr>
              <w:t>$2,743,458</w:t>
            </w:r>
          </w:p>
        </w:tc>
        <w:tc>
          <w:tcPr>
            <w:tcW w:w="0" w:type="dxa"/>
            <w:vAlign w:val="bottom"/>
          </w:tcPr>
          <w:p>
            <w:pPr>
              <w:spacing w:after="0"/>
              <w:rPr>
                <w:sz w:val="1"/>
                <w:szCs w:val="1"/>
                <w:color w:val="auto"/>
              </w:rPr>
            </w:pPr>
          </w:p>
        </w:tc>
      </w:tr>
      <w:tr>
        <w:trPr>
          <w:trHeight w:val="193"/>
        </w:trPr>
        <w:tc>
          <w:tcPr>
            <w:tcW w:w="698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Adjustment from contract value to fair value for fully benefit-responsive investment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(5,409)</w:t>
            </w:r>
          </w:p>
        </w:tc>
        <w:tc>
          <w:tcPr>
            <w:tcW w:w="12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(10,883)</w:t>
            </w:r>
          </w:p>
        </w:tc>
        <w:tc>
          <w:tcPr>
            <w:tcW w:w="0" w:type="dxa"/>
            <w:vAlign w:val="bottom"/>
          </w:tcPr>
          <w:p>
            <w:pPr>
              <w:spacing w:after="0"/>
              <w:rPr>
                <w:sz w:val="1"/>
                <w:szCs w:val="1"/>
                <w:color w:val="auto"/>
              </w:rPr>
            </w:pPr>
          </w:p>
        </w:tc>
      </w:tr>
      <w:tr>
        <w:trPr>
          <w:trHeight w:val="252"/>
        </w:trPr>
        <w:tc>
          <w:tcPr>
            <w:tcW w:w="6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contracts</w:t>
            </w:r>
          </w:p>
        </w:tc>
        <w:tc>
          <w:tcPr>
            <w:tcW w:w="15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Amounts allocated to withdrawing participants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0" w:type="dxa"/>
            <w:vAlign w:val="bottom"/>
          </w:tcPr>
          <w:p>
            <w:pPr>
              <w:spacing w:after="0"/>
              <w:rPr>
                <w:sz w:val="1"/>
                <w:szCs w:val="1"/>
                <w:color w:val="auto"/>
              </w:rPr>
            </w:pPr>
          </w:p>
        </w:tc>
      </w:tr>
      <w:tr>
        <w:trPr>
          <w:trHeight w:val="250"/>
        </w:trPr>
        <w:tc>
          <w:tcPr>
            <w:tcW w:w="6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assets available for benefits per Form 5500</w:t>
            </w:r>
          </w:p>
        </w:tc>
        <w:tc>
          <w:tcPr>
            <w:tcW w:w="15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$2,817,993</w:t>
            </w: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$2,730,748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00" w:right="40"/>
        <w:spacing w:after="0" w:line="267" w:lineRule="auto"/>
        <w:rPr>
          <w:sz w:val="20"/>
          <w:szCs w:val="20"/>
          <w:color w:val="auto"/>
        </w:rPr>
      </w:pPr>
      <w:r>
        <w:rPr>
          <w:rFonts w:ascii="Times New Roman" w:cs="Times New Roman" w:eastAsia="Times New Roman" w:hAnsi="Times New Roman"/>
          <w:sz w:val="20"/>
          <w:szCs w:val="20"/>
          <w:color w:val="auto"/>
        </w:rPr>
        <w:t>The following is a reconciliation of benefits paid to participants per the financial statements for the year ended 31 December 2025 to the Form 5500:</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62"/>
        </w:trPr>
        <w:tc>
          <w:tcPr>
            <w:tcW w:w="8020" w:type="dxa"/>
            <w:vAlign w:val="bottom"/>
          </w:tcPr>
          <w:p>
            <w:pPr>
              <w:spacing w:after="0"/>
              <w:rPr>
                <w:sz w:val="22"/>
                <w:szCs w:val="22"/>
                <w:color w:val="auto"/>
              </w:rPr>
            </w:pPr>
          </w:p>
        </w:tc>
        <w:tc>
          <w:tcPr>
            <w:tcW w:w="21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color w:val="auto"/>
              </w:rPr>
              <w:t>2025</w:t>
            </w:r>
          </w:p>
        </w:tc>
      </w:tr>
      <w:tr>
        <w:trPr>
          <w:trHeight w:val="38"/>
        </w:trPr>
        <w:tc>
          <w:tcPr>
            <w:tcW w:w="80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 per the financial statements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$335,556</w:t>
            </w: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Amounts allocated to withdrawing participants at 31 December 2025</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Amounts allocated to withdrawing participants at 31 December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(1,827)</w:t>
            </w:r>
          </w:p>
        </w:tc>
      </w:tr>
      <w:tr>
        <w:trPr>
          <w:trHeight w:val="250"/>
        </w:trPr>
        <w:tc>
          <w:tcPr>
            <w:tcW w:w="8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Benefits paid to participants per Form 5500</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$333,735</w:t>
            </w:r>
          </w:p>
        </w:tc>
      </w:tr>
    </w:tbl>
    <w:p>
      <w:pPr>
        <w:spacing w:after="0" w:line="247" w:lineRule="exact"/>
        <w:rPr>
          <w:sz w:val="20"/>
          <w:szCs w:val="20"/>
          <w:color w:val="auto"/>
        </w:rPr>
      </w:pPr>
    </w:p>
    <w:p>
      <w:pPr>
        <w:ind w:left="500"/>
        <w:spacing w:after="0" w:line="267" w:lineRule="auto"/>
        <w:rPr>
          <w:sz w:val="20"/>
          <w:szCs w:val="20"/>
          <w:color w:val="auto"/>
        </w:rPr>
      </w:pPr>
      <w:r>
        <w:rPr>
          <w:rFonts w:ascii="Times New Roman" w:cs="Times New Roman" w:eastAsia="Times New Roman" w:hAnsi="Times New Roman"/>
          <w:sz w:val="20"/>
          <w:szCs w:val="20"/>
          <w:color w:val="auto"/>
        </w:rPr>
        <w:t>The following is a reconciliation of the net increase in net assets per the financial statements for the year ended 31 December 2025 to the Form 5500:</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62"/>
        </w:trPr>
        <w:tc>
          <w:tcPr>
            <w:tcW w:w="8020" w:type="dxa"/>
            <w:vAlign w:val="bottom"/>
          </w:tcPr>
          <w:p>
            <w:pPr>
              <w:spacing w:after="0"/>
              <w:rPr>
                <w:sz w:val="22"/>
                <w:szCs w:val="22"/>
                <w:color w:val="auto"/>
              </w:rPr>
            </w:pPr>
          </w:p>
        </w:tc>
        <w:tc>
          <w:tcPr>
            <w:tcW w:w="21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38"/>
        </w:trPr>
        <w:tc>
          <w:tcPr>
            <w:tcW w:w="80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Increase in net assets per the financial statements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$79,950</w:t>
            </w:r>
          </w:p>
        </w:tc>
        <w:tc>
          <w:tcPr>
            <w:tcW w:w="0" w:type="dxa"/>
            <w:vAlign w:val="bottom"/>
          </w:tcPr>
          <w:p>
            <w:pPr>
              <w:spacing w:after="0"/>
              <w:rPr>
                <w:sz w:val="1"/>
                <w:szCs w:val="1"/>
                <w:color w:val="auto"/>
              </w:rPr>
            </w:pPr>
          </w:p>
        </w:tc>
      </w:tr>
      <w:tr>
        <w:trPr>
          <w:trHeight w:val="193"/>
        </w:trPr>
        <w:tc>
          <w:tcPr>
            <w:tcW w:w="802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Change in the adjustment from contract value to fair value for fully benefit-responsive investment</w:t>
            </w:r>
          </w:p>
        </w:tc>
        <w:tc>
          <w:tcPr>
            <w:tcW w:w="2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5,474</w:t>
            </w:r>
          </w:p>
        </w:tc>
        <w:tc>
          <w:tcPr>
            <w:tcW w:w="0" w:type="dxa"/>
            <w:vAlign w:val="bottom"/>
          </w:tcPr>
          <w:p>
            <w:pPr>
              <w:spacing w:after="0"/>
              <w:rPr>
                <w:sz w:val="1"/>
                <w:szCs w:val="1"/>
                <w:color w:val="auto"/>
              </w:rPr>
            </w:pPr>
          </w:p>
        </w:tc>
      </w:tr>
      <w:tr>
        <w:trPr>
          <w:trHeight w:val="252"/>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contracts</w:t>
            </w:r>
          </w:p>
        </w:tc>
        <w:tc>
          <w:tcPr>
            <w:tcW w:w="2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amounts allocated to withdrawing participants</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1,821</w:t>
            </w:r>
          </w:p>
        </w:tc>
        <w:tc>
          <w:tcPr>
            <w:tcW w:w="0" w:type="dxa"/>
            <w:vAlign w:val="bottom"/>
          </w:tcPr>
          <w:p>
            <w:pPr>
              <w:spacing w:after="0"/>
              <w:rPr>
                <w:sz w:val="1"/>
                <w:szCs w:val="1"/>
                <w:color w:val="auto"/>
              </w:rPr>
            </w:pPr>
          </w:p>
        </w:tc>
      </w:tr>
      <w:tr>
        <w:trPr>
          <w:trHeight w:val="250"/>
        </w:trPr>
        <w:tc>
          <w:tcPr>
            <w:tcW w:w="8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increase per Form 5500</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$87,245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center"/>
        <w:ind w:left="3140"/>
        <w:spacing w:after="0" w:line="256" w:lineRule="auto"/>
        <w:rPr>
          <w:sz w:val="20"/>
          <w:szCs w:val="20"/>
          <w:color w:val="auto"/>
        </w:rPr>
      </w:pPr>
      <w:r>
        <w:rPr>
          <w:rFonts w:ascii="Times New Roman" w:cs="Times New Roman" w:eastAsia="Times New Roman" w:hAnsi="Times New Roman"/>
          <w:sz w:val="17"/>
          <w:szCs w:val="17"/>
          <w:color w:val="auto"/>
        </w:rPr>
        <w:t>Air Products and Chemicals, Inc. Retirement Savings Plan Employer ID No: 23-1274455, Plan No: 001 Schedule H, Part IV, Line 4(a) – Schedule of Delinquent Participant Contributions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31 December 2025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thousands)</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left="60"/>
        <w:spacing w:after="0" w:line="237" w:lineRule="auto"/>
        <w:rPr>
          <w:sz w:val="20"/>
          <w:szCs w:val="20"/>
          <w:color w:val="auto"/>
        </w:rPr>
      </w:pPr>
      <w:r>
        <w:rPr>
          <w:rFonts w:ascii="Times New Roman" w:cs="Times New Roman" w:eastAsia="Times New Roman" w:hAnsi="Times New Roman"/>
          <w:sz w:val="18"/>
          <w:szCs w:val="18"/>
          <w:color w:val="auto"/>
        </w:rPr>
        <w:t>Participant Contributions Transferred Late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774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65" w:lineRule="exact"/>
        <w:rPr>
          <w:sz w:val="20"/>
          <w:szCs w:val="20"/>
          <w:color w:val="auto"/>
        </w:rPr>
      </w:pPr>
    </w:p>
    <w:p>
      <w:pPr>
        <w:jc w:val="center"/>
        <w:ind w:left="60"/>
        <w:spacing w:after="0" w:line="236" w:lineRule="auto"/>
        <w:rPr>
          <w:sz w:val="20"/>
          <w:szCs w:val="20"/>
          <w:color w:val="auto"/>
        </w:rPr>
      </w:pPr>
      <w:r>
        <w:rPr>
          <w:rFonts w:ascii="Times New Roman" w:cs="Times New Roman" w:eastAsia="Times New Roman" w:hAnsi="Times New Roman"/>
          <w:sz w:val="18"/>
          <w:szCs w:val="18"/>
          <w:color w:val="auto"/>
        </w:rPr>
        <w:t xml:space="preserve">Check Here if Late Participant Loan Repayments are Included: </w:t>
      </w:r>
      <w:r>
        <w:rPr>
          <w:rFonts w:ascii="Arial" w:cs="Arial" w:eastAsia="Arial" w:hAnsi="Arial"/>
          <w:sz w:val="13"/>
          <w:szCs w:val="13"/>
          <w:b w:val="1"/>
          <w:bCs w:val="1"/>
          <w:color w:val="auto"/>
        </w:rPr>
        <w:t>P</w:t>
      </w:r>
      <w:r>
        <w:rPr>
          <w:rFonts w:ascii="Times New Roman" w:cs="Times New Roman" w:eastAsia="Times New Roman" w:hAnsi="Times New Roman"/>
          <w:sz w:val="23"/>
          <w:szCs w:val="23"/>
          <w:color w:val="auto"/>
          <w:vertAlign w:val="superscript"/>
        </w:rPr>
        <w:t>(A)</w:t>
      </w:r>
    </w:p>
    <w:p>
      <w:pPr>
        <w:spacing w:after="0" w:line="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that Constitute Nonexempt Prohibited Transactions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Contributions Not</w:t>
            </w:r>
          </w:p>
        </w:tc>
        <w:tc>
          <w:tcPr>
            <w:tcW w:w="190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Contributions Corrected</w:t>
            </w:r>
          </w:p>
        </w:tc>
        <w:tc>
          <w:tcPr>
            <w:tcW w:w="23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Contributions Pending</w:t>
            </w:r>
          </w:p>
        </w:tc>
        <w:tc>
          <w:tcPr>
            <w:tcW w:w="22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Totally Fully Corrected</w:t>
            </w:r>
          </w:p>
        </w:tc>
        <w:tc>
          <w:tcPr>
            <w:tcW w:w="0" w:type="dxa"/>
            <w:vAlign w:val="bottom"/>
          </w:tcPr>
          <w:p>
            <w:pPr>
              <w:spacing w:after="0"/>
              <w:rPr>
                <w:sz w:val="1"/>
                <w:szCs w:val="1"/>
                <w:color w:val="auto"/>
              </w:rPr>
            </w:pPr>
          </w:p>
        </w:tc>
      </w:tr>
      <w:tr>
        <w:trPr>
          <w:trHeight w:val="175"/>
        </w:trPr>
        <w:tc>
          <w:tcPr>
            <w:tcW w:w="190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 VFCP and PTE 2002-</w:t>
            </w:r>
          </w:p>
        </w:tc>
        <w:tc>
          <w:tcPr>
            <w:tcW w:w="0" w:type="dxa"/>
            <w:vAlign w:val="bottom"/>
          </w:tcPr>
          <w:p>
            <w:pPr>
              <w:spacing w:after="0"/>
              <w:rPr>
                <w:sz w:val="1"/>
                <w:szCs w:val="1"/>
                <w:color w:val="auto"/>
              </w:rPr>
            </w:pPr>
          </w:p>
        </w:tc>
      </w:tr>
      <w:tr>
        <w:trPr>
          <w:trHeight w:val="243"/>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Corrected</w:t>
            </w: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color w:val="auto"/>
                <w:w w:val="95"/>
              </w:rPr>
              <w:t xml:space="preserve">Outside VFCP </w:t>
            </w:r>
            <w:r>
              <w:rPr>
                <w:rFonts w:ascii="Times New Roman" w:cs="Times New Roman" w:eastAsia="Times New Roman" w:hAnsi="Times New Roman"/>
                <w:sz w:val="23"/>
                <w:szCs w:val="23"/>
                <w:color w:val="auto"/>
                <w:w w:val="95"/>
                <w:vertAlign w:val="superscript"/>
              </w:rPr>
              <w:t>(A)</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Correction in VFCP</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28"/>
        </w:trPr>
        <w:tc>
          <w:tcPr>
            <w:tcW w:w="180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40" w:type="dxa"/>
            <w:vAlign w:val="bottom"/>
            <w:tcBorders>
              <w:top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20" w:type="dxa"/>
            <w:vAlign w:val="bottom"/>
            <w:tcBorders>
              <w:top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-156845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760" w:space="140"/>
            <w:col w:w="8340"/>
          </w:cols>
          <w:pgMar w:left="320" w:top="234" w:right="339" w:bottom="1440" w:gutter="0" w:footer="0" w:header="0"/>
          <w:type w:val="continuous"/>
        </w:sect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Relates to participant contributions that were remitted late but corrected in 2024. Refer to Note 8, </w:t>
      </w:r>
      <w:r>
        <w:rPr>
          <w:rFonts w:ascii="Times New Roman" w:cs="Times New Roman" w:eastAsia="Times New Roman" w:hAnsi="Times New Roman"/>
          <w:sz w:val="14"/>
          <w:szCs w:val="14"/>
          <w:i w:val="1"/>
          <w:iCs w:val="1"/>
          <w:color w:val="auto"/>
        </w:rPr>
        <w:t>Party-In-Interest Transactions</w:t>
      </w:r>
      <w:r>
        <w:rPr>
          <w:rFonts w:ascii="Times New Roman" w:cs="Times New Roman" w:eastAsia="Times New Roman" w:hAnsi="Times New Roman"/>
          <w:sz w:val="14"/>
          <w:szCs w:val="14"/>
          <w:color w:val="auto"/>
        </w:rPr>
        <w:t>, for additional information.</w:t>
      </w:r>
    </w:p>
    <w:p>
      <w:pPr>
        <w:spacing w:after="0" w:line="200" w:lineRule="exact"/>
        <w:rPr>
          <w:rFonts w:ascii="Times New Roman" w:cs="Times New Roman" w:eastAsia="Times New Roman" w:hAnsi="Times New Roman"/>
          <w:sz w:val="18"/>
          <w:szCs w:val="18"/>
          <w:color w:val="auto"/>
          <w:vertAlign w:val="superscript"/>
        </w:rPr>
      </w:pPr>
    </w:p>
    <w:p>
      <w:pPr>
        <w:spacing w:after="0" w:line="373"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Air Products and Chemicals, Inc. Retirement Savings Plan</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Employer ID No: 23-1274455, Plan No: 001</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Schedule H, Part IV, Line 4(i) – Schedule of Assets (Held at End of Year)</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As of 31 December 2025</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(In thousands, except for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Identity of issue</w:t>
            </w:r>
          </w:p>
        </w:tc>
        <w:tc>
          <w:tcPr>
            <w:tcW w:w="6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Description</w:t>
            </w: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Current value</w:t>
            </w:r>
          </w:p>
        </w:tc>
      </w:tr>
      <w:tr>
        <w:trPr>
          <w:trHeight w:val="20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Interest-bearing cash:</w:t>
            </w:r>
          </w:p>
        </w:tc>
        <w:tc>
          <w:tcPr>
            <w:tcW w:w="60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0"/>
        </w:trPr>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  Fidelity Trust Management Company</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Cash</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$15,485</w:t>
            </w: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Snyder Small Mid Cap</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Cash</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3,814</w:t>
            </w:r>
          </w:p>
        </w:tc>
      </w:tr>
      <w:tr>
        <w:trPr>
          <w:trHeight w:val="200"/>
        </w:trPr>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  Invesco Stable Value Fund</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Cash</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6,718</w:t>
            </w:r>
          </w:p>
        </w:tc>
      </w:tr>
      <w:tr>
        <w:trPr>
          <w:trHeight w:val="20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Bond Index Fund:</w:t>
            </w:r>
          </w:p>
        </w:tc>
        <w:tc>
          <w:tcPr>
            <w:tcW w:w="60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0"/>
        </w:trPr>
        <w:tc>
          <w:tcPr>
            <w:tcW w:w="39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Vanguard Total Bond Market Index Fund</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Mutual fund shares: 4,673,089</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45,656</w:t>
            </w:r>
          </w:p>
        </w:tc>
      </w:tr>
      <w:tr>
        <w:trPr>
          <w:trHeight w:val="20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Large Cap Value Fund:</w:t>
            </w:r>
          </w:p>
        </w:tc>
        <w:tc>
          <w:tcPr>
            <w:tcW w:w="60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0"/>
        </w:trPr>
        <w:tc>
          <w:tcPr>
            <w:tcW w:w="39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Vanguard Windsor II Fund Admiral</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Mutual fund shares: 2,726,182</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227,364</w:t>
            </w:r>
          </w:p>
        </w:tc>
      </w:tr>
      <w:tr>
        <w:trPr>
          <w:trHeight w:val="20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International Stock Funds:</w:t>
            </w:r>
          </w:p>
        </w:tc>
        <w:tc>
          <w:tcPr>
            <w:tcW w:w="60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0"/>
        </w:trPr>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  Fidelity International Discovery Commingled Pool</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78,759</w:t>
            </w: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Vanguard Total International Stock Index Fund</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Mutual fund shares: 320,253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51,910</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Life Cycle Funds (Lending Series Fund Class V):</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SS Target Retirement Income Securities</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65,790</w:t>
            </w:r>
          </w:p>
        </w:tc>
      </w:tr>
      <w:tr>
        <w:trPr>
          <w:trHeight w:val="200"/>
        </w:trPr>
        <w:tc>
          <w:tcPr>
            <w:tcW w:w="39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SS Target Retirement 2025 Securities</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88,730</w:t>
            </w: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SS Target Retirement 2030 Securities</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165,233</w:t>
            </w:r>
          </w:p>
        </w:tc>
      </w:tr>
      <w:tr>
        <w:trPr>
          <w:trHeight w:val="200"/>
        </w:trPr>
        <w:tc>
          <w:tcPr>
            <w:tcW w:w="39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SS Target Retirement 2035 Securities</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125,185</w:t>
            </w: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SS Target Retirement 2040 Securities</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127,390</w:t>
            </w:r>
          </w:p>
        </w:tc>
      </w:tr>
      <w:tr>
        <w:trPr>
          <w:trHeight w:val="200"/>
        </w:trPr>
        <w:tc>
          <w:tcPr>
            <w:tcW w:w="39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SS Target Retirement 2045 Securities</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87,842</w:t>
            </w: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SS Target Retirement 2050 Securities</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75,721</w:t>
            </w:r>
          </w:p>
        </w:tc>
      </w:tr>
      <w:tr>
        <w:trPr>
          <w:trHeight w:val="200"/>
        </w:trPr>
        <w:tc>
          <w:tcPr>
            <w:tcW w:w="39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SS Target Retirement 2055 Securities</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64,795</w:t>
            </w: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SS Target Retirement 2060 Securities</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30,341</w:t>
            </w:r>
          </w:p>
        </w:tc>
      </w:tr>
      <w:tr>
        <w:trPr>
          <w:trHeight w:val="200"/>
        </w:trPr>
        <w:tc>
          <w:tcPr>
            <w:tcW w:w="39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SS Target Retirement 2065 Securities</w:t>
            </w:r>
          </w:p>
        </w:tc>
        <w:tc>
          <w:tcPr>
            <w:tcW w:w="60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11,570</w:t>
            </w: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SS Target Retirement 2070 Securities</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1,334</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Corporate Bond Fund:</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BBH Core Plus Fixed Income</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53,899</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S&amp;P 500 Index Fund:</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Spartan 500 Index Pool</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416,878</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Extended Market Index Fund:</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Spartan Extended Market Index Pool</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50,642</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Large Cap Growth Fund:</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JPMCB Large Cap Growth Fund</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Commingled investment pool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272,243</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Air Products and Chemicals, Inc. Common Stock</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Common stock shares: 1,483,987; Historical Cost: $233,266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366,605</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Small Mid-Cap Corporate Common Stock</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Snyder Small Mid Cap</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Equity Securities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130,392</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Self-Directed Brokerage Account:</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Fidelity BrokerageLink</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Brokerage account for many publicly available mutual funds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86,987</w:t>
            </w:r>
          </w:p>
        </w:tc>
      </w:tr>
      <w:tr>
        <w:trPr>
          <w:trHeight w:val="200"/>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Fixed Income Securities Fund:</w:t>
            </w: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Invesco Stable Value Fund</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Guaranteed investment contracts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144,097</w:t>
            </w:r>
          </w:p>
        </w:tc>
      </w:tr>
      <w:tr>
        <w:trPr>
          <w:trHeight w:val="194"/>
        </w:trPr>
        <w:tc>
          <w:tcPr>
            <w:tcW w:w="39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5"/>
                <w:szCs w:val="15"/>
                <w:color w:val="auto"/>
              </w:rPr>
              <w:t>Total investments</w:t>
            </w:r>
          </w:p>
        </w:tc>
        <w:tc>
          <w:tcPr>
            <w:tcW w:w="60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$2,795,380</w:t>
            </w: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Participant loans</w:t>
            </w: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Interest rates ranging from 4.25% to 9.50% with various maturity dates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$21,541</w:t>
            </w: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investments with a party-in-interest.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Refer to Attachment A for listing of underlying holdings.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Cost information not presented because investments are participant directed.</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4"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Air Products and Chemicals, Inc. Retirement Savings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Employer ID No: 23-1274455, Plan No: 001</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Attachment A</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As of 31 December 2025</w:t>
      </w:r>
    </w:p>
    <w:p>
      <w:pPr>
        <w:spacing w:after="0" w:line="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(In thousands)</w:t>
      </w:r>
    </w:p>
    <w:p>
      <w:pPr>
        <w:spacing w:after="0" w:line="277" w:lineRule="exact"/>
        <w:rPr>
          <w:sz w:val="20"/>
          <w:szCs w:val="20"/>
          <w:color w:val="auto"/>
        </w:rPr>
      </w:pPr>
    </w:p>
    <w:tbl>
      <w:tblPr>
        <w:tblLayout w:type="fixed"/>
        <w:tblInd w:w="180" w:type="dxa"/>
        <w:tblCellMar>
          <w:top w:w="0" w:type="dxa"/>
          <w:left w:w="0" w:type="dxa"/>
          <w:bottom w:w="0" w:type="dxa"/>
          <w:right w:w="0" w:type="dxa"/>
        </w:tblCellMar>
      </w:tblPr>
      <w:tr>
        <w:trPr>
          <w:trHeight w:val="20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Identity of issue</w:t>
            </w:r>
          </w:p>
        </w:tc>
        <w:tc>
          <w:tcPr>
            <w:tcW w:w="6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5"/>
                <w:szCs w:val="15"/>
                <w:color w:val="auto"/>
              </w:rPr>
              <w:t>Description</w:t>
            </w:r>
          </w:p>
        </w:tc>
        <w:tc>
          <w:tcPr>
            <w:tcW w:w="11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Current value</w:t>
            </w:r>
          </w:p>
        </w:tc>
      </w:tr>
      <w:tr>
        <w:trPr>
          <w:trHeight w:val="20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Allegion PLC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$2,092</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Ametek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6,339</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Amphenol Corp Cl A</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3,672</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Bio Techne Corp</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3,759</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Brown &amp; Brown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3,506</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BWX Technologies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5,453</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Cabot Corp</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2,030</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Charles River Laboratories International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3,810</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Clean Harbors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7,123</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Coherent Corp</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6,649</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Copart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1,626</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Dolby Laboratories Inc Cl A</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3,169</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Entegris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5,765</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First American Financial Corp</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Graco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Halozyme Therapeutics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3,637</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HEICO Corp Cl A</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Henry Schein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3,549</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Hexcel Corp</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2,288</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Huntington Bancshares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4,558</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IDEX Corp</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Ingredion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3,641</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Keysight Technologies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3,694</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LKQ Corp</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2,652</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Markel Group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879</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Mid-America Apartment Communities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NNN REIT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Power Integrations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2,618</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Prosperity Bancshares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Rentokil Initial PLC Sponsored ADR</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4,048</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Shift4 Pmts Inc Cl A</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SS&amp;C Technologies Holdings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6,327</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STERIS PLC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2,941</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UGI Corp</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Waste Connections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6,108</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WEX Inc.</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2,353</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Woodward Inc</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4,437</w:t>
            </w:r>
          </w:p>
        </w:tc>
      </w:tr>
      <w:tr>
        <w:trPr>
          <w:trHeight w:val="194"/>
        </w:trPr>
        <w:tc>
          <w:tcPr>
            <w:tcW w:w="3440" w:type="dxa"/>
            <w:vAlign w:val="bottom"/>
          </w:tcPr>
          <w:p>
            <w:pPr>
              <w:spacing w:after="0"/>
              <w:rPr>
                <w:sz w:val="16"/>
                <w:szCs w:val="16"/>
                <w:color w:val="auto"/>
              </w:rPr>
            </w:pPr>
          </w:p>
        </w:tc>
        <w:tc>
          <w:tcPr>
            <w:tcW w:w="6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Snyder Small Mid Cap</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$130,392</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3440" w:type="dxa"/>
            <w:vAlign w:val="bottom"/>
            <w:shd w:val="clear" w:color="auto" w:fill="CCEEFF"/>
          </w:tcPr>
          <w:p>
            <w:pPr>
              <w:spacing w:after="0"/>
              <w:rPr>
                <w:sz w:val="16"/>
                <w:szCs w:val="16"/>
                <w:color w:val="auto"/>
              </w:rPr>
            </w:pPr>
          </w:p>
        </w:tc>
        <w:tc>
          <w:tcPr>
            <w:tcW w:w="6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Dodge &amp; Cox Core Fixed Income Fund</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$7,530</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Invesco Core Fixed Income Fund</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7,532</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Invesco Intermediate Fund</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15,210</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Invesco Short Term Bond Fund</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68,284</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Jennison Intermediate Fund</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15,223</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Loomis Sayles Core Fixed Income Fund</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7,532</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Loomis Sayles Intermediate Fund</w:t>
            </w:r>
          </w:p>
        </w:tc>
        <w:tc>
          <w:tcPr>
            <w:tcW w:w="6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7,626</w:t>
            </w: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PIMCO Core Fixed Income Fund</w:t>
            </w:r>
          </w:p>
        </w:tc>
        <w:tc>
          <w:tcPr>
            <w:tcW w:w="6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7,531</w:t>
            </w:r>
          </w:p>
        </w:tc>
      </w:tr>
      <w:tr>
        <w:trPr>
          <w:trHeight w:val="20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PIMCO Intermediate Fund</w:t>
            </w:r>
          </w:p>
        </w:tc>
        <w:tc>
          <w:tcPr>
            <w:tcW w:w="62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5"/>
                <w:szCs w:val="15"/>
                <w:color w:val="auto"/>
              </w:rPr>
              <w:t>Synthetic</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7,629</w:t>
            </w:r>
          </w:p>
        </w:tc>
      </w:tr>
      <w:tr>
        <w:trPr>
          <w:trHeight w:val="221"/>
        </w:trPr>
        <w:tc>
          <w:tcPr>
            <w:tcW w:w="3440" w:type="dxa"/>
            <w:vAlign w:val="bottom"/>
            <w:tcBorders>
              <w:bottom w:val="single" w:sz="8" w:color="CCEEFF"/>
            </w:tcBorders>
            <w:shd w:val="clear" w:color="auto" w:fill="CCEEFF"/>
          </w:tcPr>
          <w:p>
            <w:pPr>
              <w:spacing w:after="0"/>
              <w:rPr>
                <w:sz w:val="18"/>
                <w:szCs w:val="18"/>
                <w:color w:val="auto"/>
              </w:rPr>
            </w:pPr>
          </w:p>
        </w:tc>
        <w:tc>
          <w:tcPr>
            <w:tcW w:w="6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Invesco Stable Value Fund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$144,097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4"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80" w:type="dxa"/>
            <w:vAlign w:val="bottom"/>
          </w:tcPr>
          <w:p>
            <w:pPr>
              <w:spacing w:after="0"/>
              <w:rPr>
                <w:sz w:val="22"/>
                <w:szCs w:val="22"/>
                <w:color w:val="auto"/>
              </w:rPr>
            </w:pPr>
          </w:p>
        </w:tc>
        <w:tc>
          <w:tcPr>
            <w:tcW w:w="9960" w:type="dxa"/>
            <w:vAlign w:val="bottom"/>
            <w:gridSpan w:val="2"/>
          </w:tcPr>
          <w:p>
            <w:pPr>
              <w:ind w:left="3420"/>
              <w:spacing w:after="0"/>
              <w:rPr>
                <w:sz w:val="20"/>
                <w:szCs w:val="20"/>
                <w:color w:val="auto"/>
              </w:rPr>
            </w:pPr>
            <w:r>
              <w:rPr>
                <w:rFonts w:ascii="Times New Roman" w:cs="Times New Roman" w:eastAsia="Times New Roman" w:hAnsi="Times New Roman"/>
                <w:sz w:val="20"/>
                <w:szCs w:val="20"/>
                <w:b w:val="1"/>
                <w:bCs w:val="1"/>
                <w:color w:val="auto"/>
              </w:rPr>
              <w:t>INDEX TO EXHIBIT</w:t>
            </w:r>
          </w:p>
        </w:tc>
      </w:tr>
      <w:tr>
        <w:trPr>
          <w:trHeight w:val="28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Exhibit No.</w:t>
            </w:r>
          </w:p>
        </w:tc>
        <w:tc>
          <w:tcPr>
            <w:tcW w:w="9960" w:type="dxa"/>
            <w:vAlign w:val="bottom"/>
            <w:tcBorders>
              <w:bottom w:val="single" w:sz="8" w:color="auto"/>
            </w:tcBorders>
            <w:gridSpan w:val="2"/>
          </w:tcPr>
          <w:p>
            <w:pPr>
              <w:ind w:left="4520"/>
              <w:spacing w:after="0"/>
              <w:rPr>
                <w:sz w:val="20"/>
                <w:szCs w:val="20"/>
                <w:color w:val="auto"/>
              </w:rPr>
            </w:pPr>
            <w:r>
              <w:rPr>
                <w:rFonts w:ascii="Times New Roman" w:cs="Times New Roman" w:eastAsia="Times New Roman" w:hAnsi="Times New Roman"/>
                <w:sz w:val="20"/>
                <w:szCs w:val="20"/>
                <w:color w:val="auto"/>
              </w:rPr>
              <w:t>Description</w:t>
            </w:r>
          </w:p>
        </w:tc>
      </w:tr>
      <w:tr>
        <w:trPr>
          <w:trHeight w:val="200"/>
        </w:trPr>
        <w:tc>
          <w:tcPr>
            <w:tcW w:w="1280" w:type="dxa"/>
            <w:vAlign w:val="bottom"/>
          </w:tcPr>
          <w:p>
            <w:pPr>
              <w:jc w:val="right"/>
              <w:ind w:right="381"/>
              <w:spacing w:after="0" w:line="200" w:lineRule="exact"/>
              <w:rPr>
                <w:sz w:val="20"/>
                <w:szCs w:val="20"/>
                <w:color w:val="auto"/>
              </w:rPr>
            </w:pPr>
            <w:r>
              <w:rPr>
                <w:rFonts w:ascii="Times New Roman" w:cs="Times New Roman" w:eastAsia="Times New Roman" w:hAnsi="Times New Roman"/>
                <w:sz w:val="20"/>
                <w:szCs w:val="20"/>
                <w:color w:val="auto"/>
              </w:rPr>
              <w:t>23.1</w:t>
            </w:r>
          </w:p>
        </w:tc>
        <w:tc>
          <w:tcPr>
            <w:tcW w:w="996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0000FF"/>
              </w:rPr>
              <w:t>Consent of Independent Registered Public Accounting Firm</w:t>
            </w:r>
          </w:p>
        </w:tc>
      </w:tr>
      <w:tr>
        <w:trPr>
          <w:trHeight w:val="20"/>
        </w:trPr>
        <w:tc>
          <w:tcPr>
            <w:tcW w:w="128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jc w:val="center"/>
        <w:ind w:left="6820"/>
        <w:spacing w:after="0" w:line="221" w:lineRule="auto"/>
        <w:rPr>
          <w:sz w:val="20"/>
          <w:szCs w:val="20"/>
          <w:color w:val="auto"/>
        </w:rPr>
      </w:pPr>
      <w:r>
        <w:rPr>
          <w:rFonts w:ascii="Times New Roman" w:cs="Times New Roman" w:eastAsia="Times New Roman" w:hAnsi="Times New Roman"/>
          <w:sz w:val="20"/>
          <w:szCs w:val="20"/>
          <w:color w:val="auto"/>
        </w:rPr>
        <w:t>Air Products and Chemicals, Inc. Retirement Savings</w:t>
      </w:r>
    </w:p>
    <w:p>
      <w:pPr>
        <w:spacing w:after="0" w:line="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20"/>
          <w:szCs w:val="20"/>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8890</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8420"/>
        <w:spacing w:after="0"/>
        <w:rPr>
          <w:sz w:val="20"/>
          <w:szCs w:val="20"/>
          <w:color w:val="auto"/>
        </w:rPr>
      </w:pPr>
      <w:r>
        <w:rPr>
          <w:rFonts w:ascii="Times New Roman" w:cs="Times New Roman" w:eastAsia="Times New Roman" w:hAnsi="Times New Roman"/>
          <w:sz w:val="20"/>
          <w:szCs w:val="20"/>
          <w:color w:val="auto"/>
        </w:rPr>
        <w:t>(Name of Plan)</w:t>
      </w:r>
    </w:p>
    <w:p>
      <w:pPr>
        <w:spacing w:after="0" w:line="297" w:lineRule="exact"/>
        <w:rPr>
          <w:sz w:val="20"/>
          <w:szCs w:val="20"/>
          <w:color w:val="auto"/>
        </w:rPr>
      </w:pPr>
    </w:p>
    <w:p>
      <w:pPr>
        <w:ind w:left="20"/>
        <w:spacing w:after="0"/>
        <w:tabs>
          <w:tab w:leader="none" w:pos="700" w:val="left"/>
          <w:tab w:leader="none" w:pos="6840" w:val="left"/>
          <w:tab w:leader="none" w:pos="8500" w:val="left"/>
        </w:tabs>
        <w:rPr>
          <w:sz w:val="20"/>
          <w:szCs w:val="20"/>
          <w:color w:val="auto"/>
        </w:rPr>
      </w:pPr>
      <w:r>
        <w:rPr>
          <w:rFonts w:ascii="Times New Roman" w:cs="Times New Roman" w:eastAsia="Times New Roman" w:hAnsi="Times New Roman"/>
          <w:sz w:val="20"/>
          <w:szCs w:val="20"/>
          <w:color w:val="auto"/>
        </w:rPr>
        <w:t>Date:</w:t>
        <w:tab/>
        <w:t>23 June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Matthew Lepore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22860</wp:posOffset>
            </wp:positionV>
            <wp:extent cx="245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20"/>
          <w:szCs w:val="20"/>
          <w:color w:val="auto"/>
        </w:rPr>
        <w:t>Matthew Lepore</w:t>
      </w:r>
    </w:p>
    <w:p>
      <w:pPr>
        <w:spacing w:after="0" w:line="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20"/>
          <w:szCs w:val="20"/>
          <w:color w:val="auto"/>
        </w:rPr>
        <w:t>Executive Vice President, General Counsel,</w:t>
      </w:r>
    </w:p>
    <w:p>
      <w:pPr>
        <w:ind w:left="7700"/>
        <w:spacing w:after="0"/>
        <w:rPr>
          <w:sz w:val="20"/>
          <w:szCs w:val="20"/>
          <w:color w:val="auto"/>
        </w:rPr>
      </w:pPr>
      <w:r>
        <w:rPr>
          <w:rFonts w:ascii="Times New Roman" w:cs="Times New Roman" w:eastAsia="Times New Roman" w:hAnsi="Times New Roman"/>
          <w:sz w:val="20"/>
          <w:szCs w:val="20"/>
          <w:color w:val="auto"/>
        </w:rPr>
        <w:t>Secretary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23"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333-204388 of Air Products and Chemicals, Inc. on Form S-8 of our report dated 23 June 2026, relating to the financial statements and supplemental schedules of Air Products and Chemicals, Inc. Retirement Savings Plan, appearing in this Annual Report on Form 11-K of Air Products and Chemicals, Inc. Retirement Savings Plan for the year ended 31 December 2025.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June 2026</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lowerLetter"/>
      <w:start w:val="1"/>
    </w:lvl>
  </w:abstractNum>
  <w:abstractNum w:abstractNumId="3">
    <w:nsid w:val="4DB127F8"/>
    <w:multiLevelType w:val="hybridMultilevel"/>
    <w:lvl w:ilvl="0">
      <w:lvlJc w:val="left"/>
      <w:lvlText w:val="(%1)"/>
      <w:numFmt w:val="lowerLetter"/>
      <w:start w:val="4"/>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5"/>
    </w:lvl>
  </w:abstractNum>
  <w:abstractNum w:abstractNumId="6">
    <w:nsid w:val="1190CDE7"/>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7">
    <w:nsid w:val="66EF438D"/>
    <w:multiLevelType w:val="hybridMultilevel"/>
    <w:lvl w:ilvl="0">
      <w:lvlJc w:val="left"/>
      <w:lvlText w:val="(%1)"/>
      <w:numFmt w:val="lowerLetter"/>
      <w:start w:val="10"/>
    </w:lvl>
  </w:abstractNum>
  <w:abstractNum w:abstractNumId="8">
    <w:nsid w:val="140E0F76"/>
    <w:multiLevelType w:val="hybridMultilevel"/>
    <w:lvl w:ilvl="0">
      <w:lvlJc w:val="left"/>
      <w:lvlText w:val="(%1)"/>
      <w:numFmt w:val="lowerLetter"/>
      <w:start w:val="12"/>
    </w:lvl>
  </w:abstractNum>
  <w:abstractNum w:abstractNumId="9">
    <w:nsid w:val="3352255A"/>
    <w:multiLevelType w:val="hybridMultilevel"/>
    <w:lvl w:ilvl="0">
      <w:lvlJc w:val="left"/>
      <w:lvlText w:val="(%1)"/>
      <w:numFmt w:val="decimal"/>
      <w:start w:val="2"/>
    </w:lvl>
    <w:lvl w:ilvl="1">
      <w:lvlJc w:val="left"/>
      <w:lvlText w:val="(%2)"/>
      <w:numFmt w:val="lowerLetter"/>
      <w:start w:val="1"/>
    </w:lvl>
  </w:abstractNum>
  <w:abstractNum w:abstractNumId="10">
    <w:nsid w:val="109CF92E"/>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1">
    <w:nsid w:val="DED726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decimal"/>
      <w:start w:val="8"/>
    </w:lvl>
  </w:abstractNum>
  <w:abstractNum w:abstractNumId="14">
    <w:nsid w:val="41A7C4C9"/>
    <w:multiLevelType w:val="hybridMultilevel"/>
    <w:lvl w:ilvl="0">
      <w:lvlJc w:val="left"/>
      <w:lvlText w:val="(%1)"/>
      <w:numFmt w:val="decimal"/>
      <w:start w:val="9"/>
    </w:lvl>
  </w:abstractNum>
  <w:abstractNum w:abstractNumId="15">
    <w:nsid w:val="6B68079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2026-06-23T13:09:50Z</dcterms:created>
  <dcterms:modified xsi:type="dcterms:W3CDTF">2026-06-23T13:09:50Z</dcterms:modified>
</cp:coreProperties>
</file>