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Washington, D.C. 20549</w:t>
      </w:r>
    </w:p>
    <w:p>
      <w:pPr>
        <w:spacing w:after="0" w:line="217"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SCHEDULE 14A</w:t>
      </w:r>
    </w:p>
    <w:p>
      <w:pPr>
        <w:spacing w:after="0" w:line="217" w:lineRule="exact"/>
        <w:rPr>
          <w:sz w:val="24"/>
          <w:szCs w:val="24"/>
          <w:color w:val="auto"/>
        </w:rPr>
      </w:pPr>
    </w:p>
    <w:p>
      <w:pPr>
        <w:ind w:left="3720"/>
        <w:spacing w:after="0"/>
        <w:rPr>
          <w:sz w:val="20"/>
          <w:szCs w:val="20"/>
          <w:color w:val="auto"/>
        </w:rPr>
      </w:pPr>
      <w:r>
        <w:rPr>
          <w:rFonts w:ascii="Arial" w:cs="Arial" w:eastAsia="Arial" w:hAnsi="Arial"/>
          <w:sz w:val="17"/>
          <w:szCs w:val="17"/>
          <w:color w:val="auto"/>
        </w:rPr>
        <w:t>Proxy Statement Pursuant to Section 14(a) of the</w:t>
      </w:r>
    </w:p>
    <w:p>
      <w:pPr>
        <w:spacing w:after="0" w:line="4" w:lineRule="exact"/>
        <w:rPr>
          <w:sz w:val="24"/>
          <w:szCs w:val="24"/>
          <w:color w:val="auto"/>
        </w:rPr>
      </w:pPr>
    </w:p>
    <w:p>
      <w:pPr>
        <w:ind w:left="3640"/>
        <w:spacing w:after="0"/>
        <w:rPr>
          <w:sz w:val="20"/>
          <w:szCs w:val="20"/>
          <w:color w:val="auto"/>
        </w:rPr>
      </w:pPr>
      <w:r>
        <w:rPr>
          <w:rFonts w:ascii="Arial" w:cs="Arial" w:eastAsia="Arial" w:hAnsi="Arial"/>
          <w:sz w:val="17"/>
          <w:szCs w:val="17"/>
          <w:color w:val="auto"/>
        </w:rPr>
        <w:t>Securities Exchange Act of 1934 (Amendment No. )</w:t>
      </w:r>
    </w:p>
    <w:p>
      <w:pPr>
        <w:spacing w:after="0" w:line="153" w:lineRule="exact"/>
        <w:rPr>
          <w:sz w:val="24"/>
          <w:szCs w:val="24"/>
          <w:color w:val="auto"/>
        </w:rPr>
      </w:pPr>
    </w:p>
    <w:p>
      <w:pPr>
        <w:spacing w:after="0" w:line="242" w:lineRule="exact"/>
        <w:tabs>
          <w:tab w:leader="none" w:pos="746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7"/>
          <w:szCs w:val="17"/>
          <w:color w:val="auto"/>
        </w:rPr>
        <w:t xml:space="preserve"> Filed by the Registrant</w:t>
      </w:r>
      <w:r>
        <w:rPr>
          <w:sz w:val="20"/>
          <w:szCs w:val="20"/>
          <w:color w:val="auto"/>
        </w:rPr>
        <w:tab/>
      </w:r>
      <w:r>
        <w:rPr>
          <w:rFonts w:ascii="MS PGothic" w:cs="MS PGothic" w:eastAsia="MS PGothic" w:hAnsi="MS PGothic"/>
          <w:sz w:val="21"/>
          <w:szCs w:val="21"/>
          <w:color w:val="auto"/>
        </w:rPr>
        <w:t xml:space="preserve">☐ </w:t>
      </w:r>
      <w:r>
        <w:rPr>
          <w:rFonts w:ascii="Arial" w:cs="Arial" w:eastAsia="Arial" w:hAnsi="Arial"/>
          <w:sz w:val="17"/>
          <w:szCs w:val="17"/>
          <w:color w:val="auto"/>
        </w:rPr>
        <w:t>Filed by a Party other than the Registrant</w:t>
      </w:r>
    </w:p>
    <w:p>
      <w:pPr>
        <w:spacing w:after="0" w:line="315" w:lineRule="exact"/>
        <w:rPr>
          <w:sz w:val="24"/>
          <w:szCs w:val="24"/>
          <w:color w:val="auto"/>
        </w:rPr>
      </w:pPr>
    </w:p>
    <w:p>
      <w:pPr>
        <w:ind w:left="80"/>
        <w:spacing w:after="0"/>
        <w:rPr>
          <w:sz w:val="20"/>
          <w:szCs w:val="20"/>
          <w:color w:val="auto"/>
        </w:rPr>
      </w:pPr>
      <w:r>
        <w:rPr>
          <w:rFonts w:ascii="Arial" w:cs="Arial" w:eastAsia="Arial" w:hAnsi="Arial"/>
          <w:sz w:val="17"/>
          <w:szCs w:val="17"/>
          <w:color w:val="auto"/>
        </w:rPr>
        <w:t>CHECK THE APPROPRIATE BOX:</w:t>
      </w:r>
    </w:p>
    <w:p>
      <w:pPr>
        <w:spacing w:after="0" w:line="50" w:lineRule="exact"/>
        <w:rPr>
          <w:sz w:val="24"/>
          <w:szCs w:val="24"/>
          <w:color w:val="auto"/>
        </w:rPr>
      </w:pPr>
    </w:p>
    <w:p>
      <w:pPr>
        <w:ind w:left="540" w:hanging="463"/>
        <w:spacing w:after="0"/>
        <w:tabs>
          <w:tab w:leader="none" w:pos="54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Preliminary Proxy Statement</w:t>
      </w:r>
    </w:p>
    <w:p>
      <w:pPr>
        <w:spacing w:after="0" w:line="44" w:lineRule="exact"/>
        <w:rPr>
          <w:rFonts w:ascii="MS PGothic" w:cs="MS PGothic" w:eastAsia="MS PGothic" w:hAnsi="MS PGothic"/>
          <w:sz w:val="21"/>
          <w:szCs w:val="21"/>
          <w:color w:val="auto"/>
        </w:rPr>
      </w:pPr>
    </w:p>
    <w:p>
      <w:pPr>
        <w:ind w:left="80" w:right="4420" w:hanging="3"/>
        <w:spacing w:after="0" w:line="253" w:lineRule="exact"/>
        <w:tabs>
          <w:tab w:leader="none" w:pos="542"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 xml:space="preserve">Confidential, For Use of the Commission Only (as permitted by Rule 14a-6(e)(2)) </w:t>
      </w:r>
      <w:r>
        <w:rPr>
          <w:rFonts w:ascii="MS PGothic" w:cs="MS PGothic" w:eastAsia="MS PGothic" w:hAnsi="MS PGothic"/>
          <w:sz w:val="21"/>
          <w:szCs w:val="21"/>
          <w:color w:val="auto"/>
        </w:rPr>
        <w:t>☑</w:t>
      </w:r>
      <w:r>
        <w:rPr>
          <w:rFonts w:ascii="Arial" w:cs="Arial" w:eastAsia="Arial" w:hAnsi="Arial"/>
          <w:sz w:val="17"/>
          <w:szCs w:val="17"/>
          <w:color w:val="auto"/>
        </w:rPr>
        <w:t xml:space="preserve"> Definitive Proxy Statement</w:t>
      </w:r>
    </w:p>
    <w:p>
      <w:pPr>
        <w:ind w:left="540" w:hanging="463"/>
        <w:spacing w:after="0" w:line="231" w:lineRule="auto"/>
        <w:tabs>
          <w:tab w:leader="none" w:pos="54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Definitive Additional Materials</w:t>
      </w:r>
    </w:p>
    <w:p>
      <w:pPr>
        <w:spacing w:after="0" w:line="44" w:lineRule="exact"/>
        <w:rPr>
          <w:rFonts w:ascii="MS PGothic" w:cs="MS PGothic" w:eastAsia="MS PGothic" w:hAnsi="MS PGothic"/>
          <w:sz w:val="21"/>
          <w:szCs w:val="21"/>
          <w:color w:val="auto"/>
        </w:rPr>
      </w:pPr>
    </w:p>
    <w:p>
      <w:pPr>
        <w:ind w:left="540" w:hanging="463"/>
        <w:spacing w:after="0" w:line="231" w:lineRule="auto"/>
        <w:tabs>
          <w:tab w:leader="none" w:pos="54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-793115</wp:posOffset>
            </wp:positionV>
            <wp:extent cx="7134225" cy="811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11530"/>
                    </a:xfrm>
                    <a:prstGeom prst="rect">
                      <a:avLst/>
                    </a:prstGeom>
                    <a:noFill/>
                  </pic:spPr>
                </pic:pic>
              </a:graphicData>
            </a:graphic>
          </wp:anchor>
        </w:drawing>
        <w:drawing>
          <wp:anchor simplePos="0" relativeHeight="251657728" behindDoc="1" locked="0" layoutInCell="0" allowOverlap="1">
            <wp:simplePos x="0" y="0"/>
            <wp:positionH relativeFrom="column">
              <wp:posOffset>2776855</wp:posOffset>
            </wp:positionH>
            <wp:positionV relativeFrom="paragraph">
              <wp:posOffset>153035</wp:posOffset>
            </wp:positionV>
            <wp:extent cx="1597660" cy="3549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7660" cy="3549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Air Products and Chemicals, Inc.</w:t>
      </w:r>
    </w:p>
    <w:p>
      <w:pPr>
        <w:spacing w:after="0" w:line="240" w:lineRule="exact"/>
        <w:rPr>
          <w:sz w:val="24"/>
          <w:szCs w:val="24"/>
          <w:color w:val="auto"/>
        </w:rPr>
      </w:pPr>
    </w:p>
    <w:p>
      <w:pPr>
        <w:jc w:val="center"/>
        <w:ind w:right="-119"/>
        <w:spacing w:after="0"/>
        <w:rPr>
          <w:sz w:val="20"/>
          <w:szCs w:val="20"/>
          <w:color w:val="auto"/>
        </w:rPr>
      </w:pPr>
      <w:r>
        <w:rPr>
          <w:rFonts w:ascii="Arial" w:cs="Arial" w:eastAsia="Arial" w:hAnsi="Arial"/>
          <w:sz w:val="13"/>
          <w:szCs w:val="13"/>
          <w:color w:val="auto"/>
        </w:rPr>
        <w:t>(Name of Registrant as Specified In Its Charter)</w:t>
      </w:r>
    </w:p>
    <w:p>
      <w:pPr>
        <w:jc w:val="center"/>
        <w:ind w:right="-119"/>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227" w:lineRule="exact"/>
        <w:rPr>
          <w:sz w:val="24"/>
          <w:szCs w:val="24"/>
          <w:color w:val="auto"/>
        </w:rPr>
      </w:pPr>
    </w:p>
    <w:p>
      <w:pPr>
        <w:ind w:left="80"/>
        <w:spacing w:after="0"/>
        <w:rPr>
          <w:sz w:val="20"/>
          <w:szCs w:val="20"/>
          <w:color w:val="auto"/>
        </w:rPr>
      </w:pPr>
      <w:r>
        <w:rPr>
          <w:rFonts w:ascii="Arial" w:cs="Arial" w:eastAsia="Arial" w:hAnsi="Arial"/>
          <w:sz w:val="17"/>
          <w:szCs w:val="17"/>
          <w:color w:val="auto"/>
        </w:rPr>
        <w:t>PAYMENT OF FILING FEE (CHECK THE APPROPRIATE BOX):</w:t>
      </w:r>
    </w:p>
    <w:p>
      <w:pPr>
        <w:spacing w:after="0" w:line="50" w:lineRule="exact"/>
        <w:rPr>
          <w:sz w:val="24"/>
          <w:szCs w:val="24"/>
          <w:color w:val="auto"/>
        </w:rPr>
      </w:pPr>
    </w:p>
    <w:p>
      <w:pPr>
        <w:ind w:left="540" w:hanging="463"/>
        <w:spacing w:after="0"/>
        <w:tabs>
          <w:tab w:leader="none" w:pos="540" w:val="left"/>
        </w:tabs>
        <w:numPr>
          <w:ilvl w:val="0"/>
          <w:numId w:val="2"/>
        </w:numPr>
        <w:rPr>
          <w:rFonts w:ascii="MS PGothic" w:cs="MS PGothic" w:eastAsia="MS PGothic" w:hAnsi="MS PGothic"/>
          <w:sz w:val="21"/>
          <w:szCs w:val="21"/>
          <w:color w:val="auto"/>
        </w:rPr>
      </w:pPr>
      <w:r>
        <w:rPr>
          <w:rFonts w:ascii="Arial" w:cs="Arial" w:eastAsia="Arial" w:hAnsi="Arial"/>
          <w:sz w:val="17"/>
          <w:szCs w:val="17"/>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7134225" cy="1673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1673860"/>
                    </a:xfrm>
                    <a:prstGeom prst="rect">
                      <a:avLst/>
                    </a:prstGeom>
                    <a:noFill/>
                  </pic:spPr>
                </pic:pic>
              </a:graphicData>
            </a:graphic>
          </wp:anchor>
        </w:drawing>
      </w:r>
    </w:p>
    <w:p>
      <w:pPr>
        <w:spacing w:after="0" w:line="16" w:lineRule="exact"/>
        <w:rPr>
          <w:sz w:val="24"/>
          <w:szCs w:val="24"/>
          <w:color w:val="auto"/>
        </w:rPr>
      </w:pPr>
    </w:p>
    <w:p>
      <w:pPr>
        <w:ind w:left="540" w:hanging="463"/>
        <w:spacing w:after="0"/>
        <w:tabs>
          <w:tab w:leader="none" w:pos="540" w:val="left"/>
        </w:tabs>
        <w:numPr>
          <w:ilvl w:val="0"/>
          <w:numId w:val="3"/>
        </w:numPr>
        <w:rPr>
          <w:rFonts w:ascii="MS PGothic" w:cs="MS PGothic" w:eastAsia="MS PGothic" w:hAnsi="MS PGothic"/>
          <w:sz w:val="21"/>
          <w:szCs w:val="21"/>
          <w:color w:val="auto"/>
        </w:rPr>
      </w:pPr>
      <w:r>
        <w:rPr>
          <w:rFonts w:ascii="Arial" w:cs="Arial" w:eastAsia="Arial" w:hAnsi="Arial"/>
          <w:sz w:val="17"/>
          <w:szCs w:val="17"/>
          <w:color w:val="auto"/>
        </w:rPr>
        <w:t>Fee computed on table below per Exchange Act Rules 14a-6(i)(1) and 0-11.</w:t>
      </w:r>
    </w:p>
    <w:p>
      <w:pPr>
        <w:spacing w:after="0" w:line="13" w:lineRule="exact"/>
        <w:rPr>
          <w:rFonts w:ascii="MS PGothic" w:cs="MS PGothic" w:eastAsia="MS PGothic" w:hAnsi="MS PGothic"/>
          <w:sz w:val="21"/>
          <w:szCs w:val="21"/>
          <w:color w:val="auto"/>
        </w:rPr>
      </w:pPr>
    </w:p>
    <w:p>
      <w:pPr>
        <w:ind w:left="840" w:hanging="155"/>
        <w:spacing w:after="0" w:line="235" w:lineRule="auto"/>
        <w:tabs>
          <w:tab w:leader="none" w:pos="840" w:val="left"/>
        </w:tabs>
        <w:numPr>
          <w:ilvl w:val="1"/>
          <w:numId w:val="3"/>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ind w:left="840" w:hanging="155"/>
        <w:spacing w:after="0" w:line="235" w:lineRule="auto"/>
        <w:tabs>
          <w:tab w:leader="none" w:pos="840" w:val="left"/>
        </w:tabs>
        <w:numPr>
          <w:ilvl w:val="1"/>
          <w:numId w:val="3"/>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ind w:left="680" w:right="60" w:firstLine="5"/>
        <w:spacing w:after="0" w:line="235" w:lineRule="auto"/>
        <w:tabs>
          <w:tab w:leader="none" w:pos="835" w:val="left"/>
        </w:tabs>
        <w:numPr>
          <w:ilvl w:val="1"/>
          <w:numId w:val="3"/>
        </w:numPr>
        <w:rPr>
          <w:rFonts w:ascii="Arial" w:cs="Arial" w:eastAsia="Arial" w:hAnsi="Arial"/>
          <w:sz w:val="13"/>
          <w:szCs w:val="13"/>
          <w:color w:val="auto"/>
        </w:rPr>
      </w:pPr>
      <w:r>
        <w:rPr>
          <w:rFonts w:ascii="Arial" w:cs="Arial" w:eastAsia="Arial" w:hAnsi="Arial"/>
          <w:sz w:val="13"/>
          <w:szCs w:val="13"/>
          <w:color w:val="auto"/>
        </w:rPr>
        <w:t>Per unit price or other underlying value of transaction computed pursuant to Exchange Act Rule 0-11 (set forth the amount on which the filing fee is calculated and state how it was determined):</w:t>
      </w:r>
    </w:p>
    <w:p>
      <w:pPr>
        <w:ind w:left="840" w:hanging="155"/>
        <w:spacing w:after="0" w:line="235" w:lineRule="auto"/>
        <w:tabs>
          <w:tab w:leader="none" w:pos="840" w:val="left"/>
        </w:tabs>
        <w:numPr>
          <w:ilvl w:val="1"/>
          <w:numId w:val="3"/>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ind w:left="840" w:hanging="155"/>
        <w:spacing w:after="0"/>
        <w:tabs>
          <w:tab w:leader="none" w:pos="840" w:val="left"/>
        </w:tabs>
        <w:numPr>
          <w:ilvl w:val="1"/>
          <w:numId w:val="3"/>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19" w:lineRule="exact"/>
        <w:rPr>
          <w:rFonts w:ascii="Arial" w:cs="Arial" w:eastAsia="Arial" w:hAnsi="Arial"/>
          <w:sz w:val="13"/>
          <w:szCs w:val="13"/>
          <w:color w:val="auto"/>
        </w:rPr>
      </w:pPr>
    </w:p>
    <w:p>
      <w:pPr>
        <w:ind w:left="540" w:hanging="463"/>
        <w:spacing w:after="0"/>
        <w:tabs>
          <w:tab w:leader="none" w:pos="540" w:val="left"/>
        </w:tabs>
        <w:numPr>
          <w:ilvl w:val="0"/>
          <w:numId w:val="3"/>
        </w:numPr>
        <w:rPr>
          <w:rFonts w:ascii="MS PGothic" w:cs="MS PGothic" w:eastAsia="MS PGothic" w:hAnsi="MS PGothic"/>
          <w:sz w:val="21"/>
          <w:szCs w:val="21"/>
          <w:color w:val="auto"/>
        </w:rPr>
      </w:pPr>
      <w:r>
        <w:rPr>
          <w:rFonts w:ascii="Arial" w:cs="Arial" w:eastAsia="Arial" w:hAnsi="Arial"/>
          <w:sz w:val="17"/>
          <w:szCs w:val="17"/>
          <w:color w:val="auto"/>
        </w:rPr>
        <w:t>Fee paid previously with preliminary materials:</w:t>
      </w:r>
    </w:p>
    <w:p>
      <w:pPr>
        <w:spacing w:after="0" w:line="30" w:lineRule="exact"/>
        <w:rPr>
          <w:rFonts w:ascii="MS PGothic" w:cs="MS PGothic" w:eastAsia="MS PGothic" w:hAnsi="MS PGothic"/>
          <w:sz w:val="21"/>
          <w:szCs w:val="21"/>
          <w:color w:val="auto"/>
        </w:rPr>
      </w:pPr>
    </w:p>
    <w:p>
      <w:pPr>
        <w:ind w:left="540" w:hanging="463"/>
        <w:spacing w:after="0" w:line="230" w:lineRule="auto"/>
        <w:tabs>
          <w:tab w:leader="none" w:pos="540" w:val="left"/>
        </w:tabs>
        <w:numPr>
          <w:ilvl w:val="0"/>
          <w:numId w:val="3"/>
        </w:numPr>
        <w:rPr>
          <w:rFonts w:ascii="MS PGothic" w:cs="MS PGothic" w:eastAsia="MS PGothic" w:hAnsi="MS PGothic"/>
          <w:sz w:val="21"/>
          <w:szCs w:val="21"/>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840" w:hanging="155"/>
        <w:spacing w:after="0" w:line="235" w:lineRule="auto"/>
        <w:tabs>
          <w:tab w:leader="none" w:pos="840" w:val="left"/>
        </w:tabs>
        <w:numPr>
          <w:ilvl w:val="1"/>
          <w:numId w:val="3"/>
        </w:numPr>
        <w:rPr>
          <w:rFonts w:ascii="Arial" w:cs="Arial" w:eastAsia="Arial" w:hAnsi="Arial"/>
          <w:sz w:val="13"/>
          <w:szCs w:val="13"/>
          <w:color w:val="auto"/>
        </w:rPr>
      </w:pPr>
      <w:r>
        <w:rPr>
          <w:rFonts w:ascii="Arial" w:cs="Arial" w:eastAsia="Arial" w:hAnsi="Arial"/>
          <w:sz w:val="13"/>
          <w:szCs w:val="13"/>
          <w:color w:val="auto"/>
        </w:rPr>
        <w:t>Amount previously paid:</w:t>
      </w:r>
    </w:p>
    <w:p>
      <w:pPr>
        <w:ind w:left="840" w:hanging="155"/>
        <w:spacing w:after="0" w:line="235" w:lineRule="auto"/>
        <w:tabs>
          <w:tab w:leader="none" w:pos="840" w:val="left"/>
        </w:tabs>
        <w:numPr>
          <w:ilvl w:val="1"/>
          <w:numId w:val="3"/>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ind w:left="840" w:hanging="155"/>
        <w:spacing w:after="0" w:line="235" w:lineRule="auto"/>
        <w:tabs>
          <w:tab w:leader="none" w:pos="840" w:val="left"/>
        </w:tabs>
        <w:numPr>
          <w:ilvl w:val="1"/>
          <w:numId w:val="3"/>
        </w:numPr>
        <w:rPr>
          <w:rFonts w:ascii="Arial" w:cs="Arial" w:eastAsia="Arial" w:hAnsi="Arial"/>
          <w:sz w:val="13"/>
          <w:szCs w:val="13"/>
          <w:color w:val="auto"/>
        </w:rPr>
      </w:pPr>
      <w:r>
        <w:rPr>
          <w:rFonts w:ascii="Arial" w:cs="Arial" w:eastAsia="Arial" w:hAnsi="Arial"/>
          <w:sz w:val="13"/>
          <w:szCs w:val="13"/>
          <w:color w:val="auto"/>
        </w:rPr>
        <w:t>Filing Party:</w:t>
      </w:r>
    </w:p>
    <w:p>
      <w:pPr>
        <w:ind w:left="840" w:hanging="155"/>
        <w:spacing w:after="0"/>
        <w:tabs>
          <w:tab w:leader="none" w:pos="840" w:val="left"/>
        </w:tabs>
        <w:numPr>
          <w:ilvl w:val="1"/>
          <w:numId w:val="3"/>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224790</wp:posOffset>
            </wp:positionV>
            <wp:extent cx="715518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140"/>
          </w:cols>
          <w:pgMar w:left="320" w:top="245" w:right="4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130810</wp:posOffset>
            </wp:positionV>
            <wp:extent cx="6762115" cy="88671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62115" cy="8867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180"/>
        <w:spacing w:after="0"/>
        <w:rPr>
          <w:sz w:val="20"/>
          <w:szCs w:val="20"/>
          <w:color w:val="auto"/>
        </w:rPr>
      </w:pPr>
      <w:r>
        <w:rPr>
          <w:rFonts w:ascii="Arial" w:cs="Arial" w:eastAsia="Arial" w:hAnsi="Arial"/>
          <w:sz w:val="64"/>
          <w:szCs w:val="64"/>
          <w:color w:val="009A4B"/>
        </w:rPr>
        <w:t>Generating a Cleaner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60"/>
        <w:spacing w:after="0"/>
        <w:rPr>
          <w:sz w:val="20"/>
          <w:szCs w:val="20"/>
          <w:color w:val="auto"/>
        </w:rPr>
      </w:pPr>
      <w:r>
        <w:rPr>
          <w:rFonts w:ascii="Arial" w:cs="Arial" w:eastAsia="Arial" w:hAnsi="Arial"/>
          <w:sz w:val="41"/>
          <w:szCs w:val="41"/>
          <w:color w:val="009A4B"/>
        </w:rPr>
        <w:t>Proxy Statement for</w:t>
      </w:r>
    </w:p>
    <w:p>
      <w:pPr>
        <w:spacing w:after="0" w:line="93" w:lineRule="exact"/>
        <w:rPr>
          <w:sz w:val="20"/>
          <w:szCs w:val="20"/>
          <w:color w:val="auto"/>
        </w:rPr>
      </w:pPr>
    </w:p>
    <w:p>
      <w:pPr>
        <w:jc w:val="right"/>
        <w:ind w:right="119"/>
        <w:spacing w:after="0"/>
        <w:rPr>
          <w:sz w:val="20"/>
          <w:szCs w:val="20"/>
          <w:color w:val="auto"/>
        </w:rPr>
      </w:pPr>
      <w:r>
        <w:rPr>
          <w:rFonts w:ascii="Arial" w:cs="Arial" w:eastAsia="Arial" w:hAnsi="Arial"/>
          <w:sz w:val="27"/>
          <w:szCs w:val="27"/>
          <w:b w:val="1"/>
          <w:bCs w:val="1"/>
          <w:color w:val="00A4E4"/>
        </w:rPr>
        <w:t>2022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Thursday, February 3, 2022</w:t>
      </w:r>
    </w:p>
    <w:p>
      <w:pPr>
        <w:ind w:left="5260"/>
        <w:spacing w:after="0"/>
        <w:rPr>
          <w:sz w:val="20"/>
          <w:szCs w:val="20"/>
          <w:color w:val="auto"/>
        </w:rPr>
      </w:pPr>
      <w:r>
        <w:rPr>
          <w:rFonts w:ascii="Arial" w:cs="Arial" w:eastAsia="Arial" w:hAnsi="Arial"/>
          <w:sz w:val="18"/>
          <w:szCs w:val="18"/>
          <w:color w:val="auto"/>
        </w:rPr>
        <w:t>2:00 p.m. (Eastern Time)</w:t>
      </w:r>
    </w:p>
    <w:p>
      <w:pPr>
        <w:spacing w:after="0" w:line="33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 xml:space="preserve">Virtual Meeting: </w:t>
      </w:r>
      <w:r>
        <w:rPr>
          <w:rFonts w:ascii="Arial" w:cs="Arial" w:eastAsia="Arial" w:hAnsi="Arial"/>
          <w:sz w:val="18"/>
          <w:szCs w:val="18"/>
          <w:i w:val="1"/>
          <w:iCs w:val="1"/>
          <w:color w:val="009A4B"/>
        </w:rPr>
        <w:t>virtualshareholdermeeting.com/APD2022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1628140</wp:posOffset>
            </wp:positionV>
            <wp:extent cx="715518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134225" cy="13271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32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
        <w:spacing w:after="0"/>
        <w:rPr>
          <w:sz w:val="20"/>
          <w:szCs w:val="20"/>
          <w:color w:val="auto"/>
        </w:rPr>
      </w:pPr>
      <w:r>
        <w:rPr>
          <w:rFonts w:ascii="Arial" w:cs="Arial" w:eastAsia="Arial" w:hAnsi="Arial"/>
          <w:sz w:val="44"/>
          <w:szCs w:val="44"/>
          <w:b w:val="1"/>
          <w:bCs w:val="1"/>
          <w:color w:val="009A4B"/>
        </w:rPr>
        <w:t>Table of Contents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80" w:type="dxa"/>
            <w:vAlign w:val="bottom"/>
            <w:gridSpan w:val="4"/>
          </w:tcPr>
          <w:p>
            <w:pPr>
              <w:spacing w:after="0"/>
              <w:rPr>
                <w:rFonts w:ascii="Arial" w:cs="Arial" w:eastAsia="Arial" w:hAnsi="Arial"/>
                <w:sz w:val="16"/>
                <w:szCs w:val="16"/>
                <w:color w:val="009A4B"/>
              </w:rPr>
            </w:pPr>
            <w:hyperlink w:anchor="page4">
              <w:r>
                <w:rPr>
                  <w:rFonts w:ascii="Arial" w:cs="Arial" w:eastAsia="Arial" w:hAnsi="Arial"/>
                  <w:sz w:val="16"/>
                  <w:szCs w:val="16"/>
                  <w:color w:val="009A4B"/>
                </w:rPr>
                <w:t>MESSAGE TO OUR SHAREHOLDERS</w:t>
              </w:r>
            </w:hyperlink>
          </w:p>
        </w:tc>
        <w:tc>
          <w:tcPr>
            <w:tcW w:w="540" w:type="dxa"/>
            <w:vAlign w:val="bottom"/>
          </w:tcPr>
          <w:p>
            <w:pPr>
              <w:jc w:val="right"/>
              <w:ind w:right="140"/>
              <w:spacing w:after="0"/>
              <w:rPr>
                <w:rFonts w:ascii="Arial" w:cs="Arial" w:eastAsia="Arial" w:hAnsi="Arial"/>
                <w:sz w:val="16"/>
                <w:szCs w:val="16"/>
                <w:b w:val="1"/>
                <w:bCs w:val="1"/>
                <w:color w:val="009A4B"/>
              </w:rPr>
            </w:pPr>
            <w:hyperlink w:anchor="page4">
              <w:r>
                <w:rPr>
                  <w:rFonts w:ascii="Arial" w:cs="Arial" w:eastAsia="Arial" w:hAnsi="Arial"/>
                  <w:sz w:val="16"/>
                  <w:szCs w:val="16"/>
                  <w:b w:val="1"/>
                  <w:bCs w:val="1"/>
                  <w:color w:val="009A4B"/>
                </w:rPr>
                <w:t>1</w:t>
              </w:r>
            </w:hyperlink>
          </w:p>
        </w:tc>
        <w:tc>
          <w:tcPr>
            <w:tcW w:w="5340" w:type="dxa"/>
            <w:vAlign w:val="bottom"/>
            <w:gridSpan w:val="3"/>
          </w:tcPr>
          <w:p>
            <w:pPr>
              <w:ind w:left="220"/>
              <w:spacing w:after="0"/>
              <w:rPr>
                <w:rFonts w:ascii="Arial" w:cs="Arial" w:eastAsia="Arial" w:hAnsi="Arial"/>
                <w:sz w:val="16"/>
                <w:szCs w:val="16"/>
                <w:color w:val="009A4B"/>
              </w:rPr>
            </w:pPr>
            <w:hyperlink w:anchor="page64">
              <w:r>
                <w:rPr>
                  <w:rFonts w:ascii="Arial" w:cs="Arial" w:eastAsia="Arial" w:hAnsi="Arial"/>
                  <w:sz w:val="16"/>
                  <w:szCs w:val="16"/>
                  <w:color w:val="009A4B"/>
                </w:rPr>
                <w:t>AUDIT AND FINANCE COMMITTEE MATTERS</w:t>
              </w:r>
            </w:hyperlink>
          </w:p>
        </w:tc>
        <w:tc>
          <w:tcPr>
            <w:tcW w:w="280" w:type="dxa"/>
            <w:vAlign w:val="bottom"/>
          </w:tcPr>
          <w:p>
            <w:pPr>
              <w:jc w:val="right"/>
              <w:spacing w:after="0"/>
              <w:rPr>
                <w:rFonts w:ascii="Arial" w:cs="Arial" w:eastAsia="Arial" w:hAnsi="Arial"/>
                <w:sz w:val="16"/>
                <w:szCs w:val="16"/>
                <w:b w:val="1"/>
                <w:bCs w:val="1"/>
                <w:color w:val="009A4B"/>
              </w:rPr>
            </w:pPr>
            <w:hyperlink w:anchor="page64">
              <w:r>
                <w:rPr>
                  <w:rFonts w:ascii="Arial" w:cs="Arial" w:eastAsia="Arial" w:hAnsi="Arial"/>
                  <w:sz w:val="16"/>
                  <w:szCs w:val="16"/>
                  <w:b w:val="1"/>
                  <w:bCs w:val="1"/>
                  <w:color w:val="009A4B"/>
                </w:rPr>
                <w:t>61</w:t>
              </w:r>
            </w:hyperlink>
          </w:p>
        </w:tc>
        <w:tc>
          <w:tcPr>
            <w:tcW w:w="0" w:type="dxa"/>
            <w:vAlign w:val="bottom"/>
          </w:tcPr>
          <w:p>
            <w:pPr>
              <w:spacing w:after="0"/>
              <w:rPr>
                <w:sz w:val="1"/>
                <w:szCs w:val="1"/>
                <w:color w:val="auto"/>
              </w:rPr>
            </w:pPr>
          </w:p>
        </w:tc>
      </w:tr>
      <w:tr>
        <w:trPr>
          <w:trHeight w:val="72"/>
        </w:trPr>
        <w:tc>
          <w:tcPr>
            <w:tcW w:w="5080" w:type="dxa"/>
            <w:vAlign w:val="bottom"/>
            <w:gridSpan w:val="4"/>
          </w:tcPr>
          <w:p>
            <w:pPr>
              <w:spacing w:after="0"/>
              <w:rPr>
                <w:sz w:val="6"/>
                <w:szCs w:val="6"/>
                <w:color w:val="auto"/>
              </w:rPr>
            </w:pPr>
          </w:p>
        </w:tc>
        <w:tc>
          <w:tcPr>
            <w:tcW w:w="540" w:type="dxa"/>
            <w:vAlign w:val="bottom"/>
            <w:vMerge w:val="restart"/>
          </w:tcPr>
          <w:p>
            <w:pPr>
              <w:jc w:val="right"/>
              <w:ind w:right="140"/>
              <w:spacing w:after="0"/>
              <w:rPr>
                <w:rFonts w:ascii="Arial" w:cs="Arial" w:eastAsia="Arial" w:hAnsi="Arial"/>
                <w:sz w:val="16"/>
                <w:szCs w:val="16"/>
                <w:b w:val="1"/>
                <w:bCs w:val="1"/>
                <w:color w:val="009A4B"/>
              </w:rPr>
            </w:pPr>
            <w:hyperlink w:anchor="page5">
              <w:r>
                <w:rPr>
                  <w:rFonts w:ascii="Arial" w:cs="Arial" w:eastAsia="Arial" w:hAnsi="Arial"/>
                  <w:sz w:val="16"/>
                  <w:szCs w:val="16"/>
                  <w:b w:val="1"/>
                  <w:bCs w:val="1"/>
                  <w:color w:val="009A4B"/>
                </w:rPr>
                <w:t>2</w:t>
              </w:r>
            </w:hyperlink>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0"/>
        </w:trPr>
        <w:tc>
          <w:tcPr>
            <w:tcW w:w="5080" w:type="dxa"/>
            <w:vAlign w:val="bottom"/>
            <w:gridSpan w:val="4"/>
          </w:tcPr>
          <w:p>
            <w:pPr>
              <w:spacing w:after="0"/>
              <w:rPr>
                <w:rFonts w:ascii="Arial" w:cs="Arial" w:eastAsia="Arial" w:hAnsi="Arial"/>
                <w:sz w:val="16"/>
                <w:szCs w:val="16"/>
                <w:color w:val="009A4B"/>
              </w:rPr>
            </w:pPr>
            <w:hyperlink w:anchor="page5">
              <w:r>
                <w:rPr>
                  <w:rFonts w:ascii="Arial" w:cs="Arial" w:eastAsia="Arial" w:hAnsi="Arial"/>
                  <w:sz w:val="16"/>
                  <w:szCs w:val="16"/>
                  <w:color w:val="009A4B"/>
                </w:rPr>
                <w:t>NOTICE OF ANNUAL MEETING OF SHAREHOLDERS</w:t>
              </w:r>
            </w:hyperlink>
          </w:p>
        </w:tc>
        <w:tc>
          <w:tcPr>
            <w:tcW w:w="540" w:type="dxa"/>
            <w:vAlign w:val="bottom"/>
            <w:vMerge w:val="continue"/>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Borders>
              <w:bottom w:val="single" w:sz="8" w:color="009A4B"/>
            </w:tcBorders>
            <w:shd w:val="clear" w:color="auto" w:fill="009A4B"/>
          </w:tcPr>
          <w:p>
            <w:pPr>
              <w:ind w:left="60"/>
              <w:spacing w:after="0"/>
              <w:rPr>
                <w:rFonts w:ascii="Arial" w:cs="Arial" w:eastAsia="Arial" w:hAnsi="Arial"/>
                <w:sz w:val="18"/>
                <w:szCs w:val="18"/>
                <w:b w:val="1"/>
                <w:bCs w:val="1"/>
                <w:color w:val="FFFFFF"/>
                <w:shd w:val="clear" w:color="auto" w:fill="009A4B"/>
              </w:rPr>
            </w:pPr>
            <w:hyperlink w:anchor="page64">
              <w:r>
                <w:rPr>
                  <w:rFonts w:ascii="Arial" w:cs="Arial" w:eastAsia="Arial" w:hAnsi="Arial"/>
                  <w:sz w:val="18"/>
                  <w:szCs w:val="18"/>
                  <w:b w:val="1"/>
                  <w:bCs w:val="1"/>
                  <w:color w:val="FFFFFF"/>
                  <w:shd w:val="clear" w:color="auto" w:fill="009A4B"/>
                </w:rPr>
                <w:t>Proposal 3.</w:t>
              </w:r>
            </w:hyperlink>
          </w:p>
        </w:tc>
        <w:tc>
          <w:tcPr>
            <w:tcW w:w="3880" w:type="dxa"/>
            <w:vAlign w:val="bottom"/>
          </w:tcPr>
          <w:p>
            <w:pPr>
              <w:ind w:left="180"/>
              <w:spacing w:after="0"/>
              <w:rPr>
                <w:rFonts w:ascii="Arial" w:cs="Arial" w:eastAsia="Arial" w:hAnsi="Arial"/>
                <w:sz w:val="16"/>
                <w:szCs w:val="16"/>
                <w:color w:val="009A4B"/>
              </w:rPr>
            </w:pPr>
            <w:hyperlink w:anchor="page64">
              <w:r>
                <w:rPr>
                  <w:rFonts w:ascii="Arial" w:cs="Arial" w:eastAsia="Arial" w:hAnsi="Arial"/>
                  <w:sz w:val="16"/>
                  <w:szCs w:val="16"/>
                  <w:color w:val="009A4B"/>
                </w:rPr>
                <w:t>Ratification of Appointment of Independent Auditors</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080" w:type="dxa"/>
            <w:vAlign w:val="bottom"/>
            <w:gridSpan w:val="4"/>
          </w:tcPr>
          <w:p>
            <w:pPr>
              <w:spacing w:after="0"/>
              <w:rPr>
                <w:rFonts w:ascii="Arial" w:cs="Arial" w:eastAsia="Arial" w:hAnsi="Arial"/>
                <w:sz w:val="16"/>
                <w:szCs w:val="16"/>
                <w:color w:val="009A4B"/>
              </w:rPr>
            </w:pPr>
            <w:hyperlink w:anchor="page6">
              <w:r>
                <w:rPr>
                  <w:rFonts w:ascii="Arial" w:cs="Arial" w:eastAsia="Arial" w:hAnsi="Arial"/>
                  <w:sz w:val="16"/>
                  <w:szCs w:val="16"/>
                  <w:color w:val="009A4B"/>
                </w:rPr>
                <w:t>FISCAL 2021 PERFORMANCE OVERVIEW</w:t>
              </w:r>
            </w:hyperlink>
          </w:p>
        </w:tc>
        <w:tc>
          <w:tcPr>
            <w:tcW w:w="540" w:type="dxa"/>
            <w:vAlign w:val="bottom"/>
          </w:tcPr>
          <w:p>
            <w:pPr>
              <w:jc w:val="right"/>
              <w:ind w:right="140"/>
              <w:spacing w:after="0"/>
              <w:rPr>
                <w:rFonts w:ascii="Arial" w:cs="Arial" w:eastAsia="Arial" w:hAnsi="Arial"/>
                <w:sz w:val="16"/>
                <w:szCs w:val="16"/>
                <w:b w:val="1"/>
                <w:bCs w:val="1"/>
                <w:color w:val="009A4B"/>
              </w:rPr>
            </w:pPr>
            <w:hyperlink w:anchor="page6">
              <w:r>
                <w:rPr>
                  <w:rFonts w:ascii="Arial" w:cs="Arial" w:eastAsia="Arial" w:hAnsi="Arial"/>
                  <w:sz w:val="16"/>
                  <w:szCs w:val="16"/>
                  <w:b w:val="1"/>
                  <w:bCs w:val="1"/>
                  <w:color w:val="009A4B"/>
                </w:rPr>
                <w:t>3</w:t>
              </w:r>
            </w:hyperlink>
          </w:p>
        </w:tc>
        <w:tc>
          <w:tcPr>
            <w:tcW w:w="400" w:type="dxa"/>
            <w:vAlign w:val="bottom"/>
          </w:tcPr>
          <w:p>
            <w:pPr>
              <w:spacing w:after="0"/>
              <w:rPr>
                <w:sz w:val="20"/>
                <w:szCs w:val="20"/>
                <w:color w:val="auto"/>
              </w:rPr>
            </w:pPr>
          </w:p>
        </w:tc>
        <w:tc>
          <w:tcPr>
            <w:tcW w:w="4940" w:type="dxa"/>
            <w:vAlign w:val="bottom"/>
            <w:gridSpan w:val="2"/>
            <w:vMerge w:val="restart"/>
          </w:tcPr>
          <w:p>
            <w:pPr>
              <w:spacing w:after="0"/>
              <w:rPr>
                <w:rFonts w:ascii="Arial" w:cs="Arial" w:eastAsia="Arial" w:hAnsi="Arial"/>
                <w:sz w:val="16"/>
                <w:szCs w:val="16"/>
                <w:color w:val="auto"/>
              </w:rPr>
            </w:pPr>
            <w:hyperlink w:anchor="page64">
              <w:r>
                <w:rPr>
                  <w:rFonts w:ascii="Arial" w:cs="Arial" w:eastAsia="Arial" w:hAnsi="Arial"/>
                  <w:sz w:val="16"/>
                  <w:szCs w:val="16"/>
                  <w:color w:val="auto"/>
                </w:rPr>
                <w:t>Ratification of Independent Registered Public Accounting Firm</w:t>
              </w:r>
            </w:hyperlink>
          </w:p>
        </w:tc>
        <w:tc>
          <w:tcPr>
            <w:tcW w:w="280" w:type="dxa"/>
            <w:vAlign w:val="bottom"/>
            <w:vMerge w:val="restart"/>
          </w:tcPr>
          <w:p>
            <w:pPr>
              <w:jc w:val="right"/>
              <w:spacing w:after="0"/>
              <w:rPr>
                <w:rFonts w:ascii="Arial" w:cs="Arial" w:eastAsia="Arial" w:hAnsi="Arial"/>
                <w:sz w:val="16"/>
                <w:szCs w:val="16"/>
                <w:color w:val="auto"/>
              </w:rPr>
            </w:pPr>
            <w:hyperlink w:anchor="page64">
              <w:r>
                <w:rPr>
                  <w:rFonts w:ascii="Arial" w:cs="Arial" w:eastAsia="Arial" w:hAnsi="Arial"/>
                  <w:sz w:val="16"/>
                  <w:szCs w:val="16"/>
                  <w:color w:val="auto"/>
                </w:rPr>
                <w:t>61</w:t>
              </w:r>
            </w:hyperlink>
          </w:p>
        </w:tc>
        <w:tc>
          <w:tcPr>
            <w:tcW w:w="0" w:type="dxa"/>
            <w:vAlign w:val="bottom"/>
          </w:tcPr>
          <w:p>
            <w:pPr>
              <w:spacing w:after="0"/>
              <w:rPr>
                <w:sz w:val="1"/>
                <w:szCs w:val="1"/>
                <w:color w:val="auto"/>
              </w:rPr>
            </w:pPr>
          </w:p>
        </w:tc>
      </w:tr>
      <w:tr>
        <w:trPr>
          <w:trHeight w:val="53"/>
        </w:trPr>
        <w:tc>
          <w:tcPr>
            <w:tcW w:w="180" w:type="dxa"/>
            <w:vAlign w:val="bottom"/>
          </w:tcPr>
          <w:p>
            <w:pPr>
              <w:spacing w:after="0"/>
              <w:rPr>
                <w:sz w:val="4"/>
                <w:szCs w:val="4"/>
                <w:color w:val="auto"/>
              </w:rPr>
            </w:pPr>
          </w:p>
        </w:tc>
        <w:tc>
          <w:tcPr>
            <w:tcW w:w="4900" w:type="dxa"/>
            <w:vAlign w:val="bottom"/>
            <w:gridSpan w:val="3"/>
            <w:vMerge w:val="restart"/>
          </w:tcPr>
          <w:p>
            <w:pPr>
              <w:spacing w:after="0"/>
              <w:rPr>
                <w:rFonts w:ascii="Arial" w:cs="Arial" w:eastAsia="Arial" w:hAnsi="Arial"/>
                <w:sz w:val="16"/>
                <w:szCs w:val="16"/>
                <w:color w:val="auto"/>
              </w:rPr>
            </w:pPr>
            <w:hyperlink w:anchor="page6">
              <w:r>
                <w:rPr>
                  <w:rFonts w:ascii="Arial" w:cs="Arial" w:eastAsia="Arial" w:hAnsi="Arial"/>
                  <w:sz w:val="16"/>
                  <w:szCs w:val="16"/>
                  <w:color w:val="auto"/>
                </w:rPr>
                <w:t>Financial and Operational Highlights</w:t>
              </w:r>
            </w:hyperlink>
          </w:p>
        </w:tc>
        <w:tc>
          <w:tcPr>
            <w:tcW w:w="540" w:type="dxa"/>
            <w:vAlign w:val="bottom"/>
            <w:vMerge w:val="restart"/>
          </w:tcPr>
          <w:p>
            <w:pPr>
              <w:jc w:val="right"/>
              <w:ind w:right="140"/>
              <w:spacing w:after="0"/>
              <w:rPr>
                <w:rFonts w:ascii="Arial" w:cs="Arial" w:eastAsia="Arial" w:hAnsi="Arial"/>
                <w:sz w:val="16"/>
                <w:szCs w:val="16"/>
                <w:color w:val="auto"/>
              </w:rPr>
            </w:pPr>
            <w:hyperlink w:anchor="page6">
              <w:r>
                <w:rPr>
                  <w:rFonts w:ascii="Arial" w:cs="Arial" w:eastAsia="Arial" w:hAnsi="Arial"/>
                  <w:sz w:val="16"/>
                  <w:szCs w:val="16"/>
                  <w:color w:val="auto"/>
                </w:rPr>
                <w:t>3</w:t>
              </w:r>
            </w:hyperlink>
          </w:p>
        </w:tc>
        <w:tc>
          <w:tcPr>
            <w:tcW w:w="400" w:type="dxa"/>
            <w:vAlign w:val="bottom"/>
          </w:tcPr>
          <w:p>
            <w:pPr>
              <w:spacing w:after="0"/>
              <w:rPr>
                <w:sz w:val="4"/>
                <w:szCs w:val="4"/>
                <w:color w:val="auto"/>
              </w:rPr>
            </w:pPr>
          </w:p>
        </w:tc>
        <w:tc>
          <w:tcPr>
            <w:tcW w:w="4940" w:type="dxa"/>
            <w:vAlign w:val="bottom"/>
            <w:gridSpan w:val="2"/>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4900" w:type="dxa"/>
            <w:vAlign w:val="bottom"/>
            <w:gridSpan w:val="3"/>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4940" w:type="dxa"/>
            <w:vAlign w:val="bottom"/>
            <w:gridSpan w:val="2"/>
            <w:vMerge w:val="restart"/>
          </w:tcPr>
          <w:p>
            <w:pPr>
              <w:spacing w:after="0"/>
              <w:rPr>
                <w:rFonts w:ascii="Arial" w:cs="Arial" w:eastAsia="Arial" w:hAnsi="Arial"/>
                <w:sz w:val="16"/>
                <w:szCs w:val="16"/>
                <w:color w:val="auto"/>
              </w:rPr>
            </w:pPr>
            <w:hyperlink w:anchor="page65">
              <w:r>
                <w:rPr>
                  <w:rFonts w:ascii="Arial" w:cs="Arial" w:eastAsia="Arial" w:hAnsi="Arial"/>
                  <w:sz w:val="16"/>
                  <w:szCs w:val="16"/>
                  <w:color w:val="auto"/>
                </w:rPr>
                <w:t>Fees of Independent Registered Public Accounting Firm</w:t>
              </w:r>
            </w:hyperlink>
          </w:p>
        </w:tc>
        <w:tc>
          <w:tcPr>
            <w:tcW w:w="280" w:type="dxa"/>
            <w:vAlign w:val="bottom"/>
            <w:vMerge w:val="restart"/>
          </w:tcPr>
          <w:p>
            <w:pPr>
              <w:jc w:val="right"/>
              <w:spacing w:after="0"/>
              <w:rPr>
                <w:rFonts w:ascii="Arial" w:cs="Arial" w:eastAsia="Arial" w:hAnsi="Arial"/>
                <w:sz w:val="16"/>
                <w:szCs w:val="16"/>
                <w:color w:val="auto"/>
              </w:rPr>
            </w:pPr>
            <w:hyperlink w:anchor="page65">
              <w:r>
                <w:rPr>
                  <w:rFonts w:ascii="Arial" w:cs="Arial" w:eastAsia="Arial" w:hAnsi="Arial"/>
                  <w:sz w:val="16"/>
                  <w:szCs w:val="16"/>
                  <w:color w:val="auto"/>
                </w:rPr>
                <w:t>62</w:t>
              </w:r>
            </w:hyperlink>
          </w:p>
        </w:tc>
        <w:tc>
          <w:tcPr>
            <w:tcW w:w="0" w:type="dxa"/>
            <w:vAlign w:val="bottom"/>
          </w:tcPr>
          <w:p>
            <w:pPr>
              <w:spacing w:after="0"/>
              <w:rPr>
                <w:sz w:val="1"/>
                <w:szCs w:val="1"/>
                <w:color w:val="auto"/>
              </w:rPr>
            </w:pPr>
          </w:p>
        </w:tc>
      </w:tr>
      <w:tr>
        <w:trPr>
          <w:trHeight w:val="53"/>
        </w:trPr>
        <w:tc>
          <w:tcPr>
            <w:tcW w:w="180" w:type="dxa"/>
            <w:vAlign w:val="bottom"/>
          </w:tcPr>
          <w:p>
            <w:pPr>
              <w:spacing w:after="0"/>
              <w:rPr>
                <w:sz w:val="4"/>
                <w:szCs w:val="4"/>
                <w:color w:val="auto"/>
              </w:rPr>
            </w:pPr>
          </w:p>
        </w:tc>
        <w:tc>
          <w:tcPr>
            <w:tcW w:w="4900" w:type="dxa"/>
            <w:vAlign w:val="bottom"/>
            <w:gridSpan w:val="3"/>
            <w:vMerge w:val="restart"/>
          </w:tcPr>
          <w:p>
            <w:pPr>
              <w:spacing w:after="0"/>
              <w:rPr>
                <w:rFonts w:ascii="Arial" w:cs="Arial" w:eastAsia="Arial" w:hAnsi="Arial"/>
                <w:sz w:val="16"/>
                <w:szCs w:val="16"/>
                <w:color w:val="auto"/>
              </w:rPr>
            </w:pPr>
            <w:hyperlink w:anchor="page7">
              <w:r>
                <w:rPr>
                  <w:rFonts w:ascii="Arial" w:cs="Arial" w:eastAsia="Arial" w:hAnsi="Arial"/>
                  <w:sz w:val="16"/>
                  <w:szCs w:val="16"/>
                  <w:color w:val="auto"/>
                </w:rPr>
                <w:t>Sustainability Highlights</w:t>
              </w:r>
            </w:hyperlink>
          </w:p>
        </w:tc>
        <w:tc>
          <w:tcPr>
            <w:tcW w:w="540" w:type="dxa"/>
            <w:vAlign w:val="bottom"/>
            <w:vMerge w:val="restart"/>
          </w:tcPr>
          <w:p>
            <w:pPr>
              <w:jc w:val="right"/>
              <w:ind w:right="140"/>
              <w:spacing w:after="0"/>
              <w:rPr>
                <w:rFonts w:ascii="Arial" w:cs="Arial" w:eastAsia="Arial" w:hAnsi="Arial"/>
                <w:sz w:val="16"/>
                <w:szCs w:val="16"/>
                <w:color w:val="auto"/>
              </w:rPr>
            </w:pPr>
            <w:hyperlink w:anchor="page7">
              <w:r>
                <w:rPr>
                  <w:rFonts w:ascii="Arial" w:cs="Arial" w:eastAsia="Arial" w:hAnsi="Arial"/>
                  <w:sz w:val="16"/>
                  <w:szCs w:val="16"/>
                  <w:color w:val="auto"/>
                </w:rPr>
                <w:t>4</w:t>
              </w:r>
            </w:hyperlink>
          </w:p>
        </w:tc>
        <w:tc>
          <w:tcPr>
            <w:tcW w:w="400" w:type="dxa"/>
            <w:vAlign w:val="bottom"/>
          </w:tcPr>
          <w:p>
            <w:pPr>
              <w:spacing w:after="0"/>
              <w:rPr>
                <w:sz w:val="4"/>
                <w:szCs w:val="4"/>
                <w:color w:val="auto"/>
              </w:rPr>
            </w:pPr>
          </w:p>
        </w:tc>
        <w:tc>
          <w:tcPr>
            <w:tcW w:w="4940" w:type="dxa"/>
            <w:vAlign w:val="bottom"/>
            <w:gridSpan w:val="2"/>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4900" w:type="dxa"/>
            <w:vAlign w:val="bottom"/>
            <w:gridSpan w:val="3"/>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4940" w:type="dxa"/>
            <w:vAlign w:val="bottom"/>
            <w:gridSpan w:val="2"/>
            <w:vMerge w:val="restart"/>
          </w:tcPr>
          <w:p>
            <w:pPr>
              <w:spacing w:after="0"/>
              <w:rPr>
                <w:rFonts w:ascii="Arial" w:cs="Arial" w:eastAsia="Arial" w:hAnsi="Arial"/>
                <w:sz w:val="16"/>
                <w:szCs w:val="16"/>
                <w:color w:val="auto"/>
              </w:rPr>
            </w:pPr>
            <w:hyperlink w:anchor="page65">
              <w:r>
                <w:rPr>
                  <w:rFonts w:ascii="Arial" w:cs="Arial" w:eastAsia="Arial" w:hAnsi="Arial"/>
                  <w:sz w:val="16"/>
                  <w:szCs w:val="16"/>
                  <w:color w:val="auto"/>
                </w:rPr>
                <w:t>Audit and Finance Committee Report</w:t>
              </w:r>
            </w:hyperlink>
          </w:p>
        </w:tc>
        <w:tc>
          <w:tcPr>
            <w:tcW w:w="280" w:type="dxa"/>
            <w:vAlign w:val="bottom"/>
            <w:vMerge w:val="restart"/>
          </w:tcPr>
          <w:p>
            <w:pPr>
              <w:jc w:val="right"/>
              <w:spacing w:after="0"/>
              <w:rPr>
                <w:rFonts w:ascii="Arial" w:cs="Arial" w:eastAsia="Arial" w:hAnsi="Arial"/>
                <w:sz w:val="16"/>
                <w:szCs w:val="16"/>
                <w:color w:val="auto"/>
              </w:rPr>
            </w:pPr>
            <w:hyperlink w:anchor="page65">
              <w:r>
                <w:rPr>
                  <w:rFonts w:ascii="Arial" w:cs="Arial" w:eastAsia="Arial" w:hAnsi="Arial"/>
                  <w:sz w:val="16"/>
                  <w:szCs w:val="16"/>
                  <w:color w:val="auto"/>
                </w:rPr>
                <w:t>62</w:t>
              </w:r>
            </w:hyperlink>
          </w:p>
        </w:tc>
        <w:tc>
          <w:tcPr>
            <w:tcW w:w="0" w:type="dxa"/>
            <w:vAlign w:val="bottom"/>
          </w:tcPr>
          <w:p>
            <w:pPr>
              <w:spacing w:after="0"/>
              <w:rPr>
                <w:sz w:val="1"/>
                <w:szCs w:val="1"/>
                <w:color w:val="auto"/>
              </w:rPr>
            </w:pPr>
          </w:p>
        </w:tc>
      </w:tr>
      <w:tr>
        <w:trPr>
          <w:trHeight w:val="53"/>
        </w:trPr>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940" w:type="dxa"/>
            <w:vAlign w:val="bottom"/>
            <w:gridSpan w:val="2"/>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5080" w:type="dxa"/>
            <w:vAlign w:val="bottom"/>
            <w:gridSpan w:val="4"/>
          </w:tcPr>
          <w:p>
            <w:pPr>
              <w:spacing w:after="0"/>
              <w:rPr>
                <w:rFonts w:ascii="Arial" w:cs="Arial" w:eastAsia="Arial" w:hAnsi="Arial"/>
                <w:sz w:val="16"/>
                <w:szCs w:val="16"/>
                <w:color w:val="009A4B"/>
              </w:rPr>
            </w:pPr>
            <w:hyperlink w:anchor="page9">
              <w:r>
                <w:rPr>
                  <w:rFonts w:ascii="Arial" w:cs="Arial" w:eastAsia="Arial" w:hAnsi="Arial"/>
                  <w:sz w:val="16"/>
                  <w:szCs w:val="16"/>
                  <w:color w:val="009A4B"/>
                </w:rPr>
                <w:t>VOTING ROADMAP</w:t>
              </w:r>
            </w:hyperlink>
          </w:p>
        </w:tc>
        <w:tc>
          <w:tcPr>
            <w:tcW w:w="540" w:type="dxa"/>
            <w:vAlign w:val="bottom"/>
          </w:tcPr>
          <w:p>
            <w:pPr>
              <w:jc w:val="right"/>
              <w:ind w:right="140"/>
              <w:spacing w:after="0"/>
              <w:rPr>
                <w:rFonts w:ascii="Arial" w:cs="Arial" w:eastAsia="Arial" w:hAnsi="Arial"/>
                <w:sz w:val="16"/>
                <w:szCs w:val="16"/>
                <w:b w:val="1"/>
                <w:bCs w:val="1"/>
                <w:color w:val="009A4B"/>
              </w:rPr>
            </w:pPr>
            <w:hyperlink w:anchor="page9">
              <w:r>
                <w:rPr>
                  <w:rFonts w:ascii="Arial" w:cs="Arial" w:eastAsia="Arial" w:hAnsi="Arial"/>
                  <w:sz w:val="16"/>
                  <w:szCs w:val="16"/>
                  <w:b w:val="1"/>
                  <w:bCs w:val="1"/>
                  <w:color w:val="009A4B"/>
                </w:rPr>
                <w:t>6</w:t>
              </w:r>
            </w:hyperlink>
          </w:p>
        </w:tc>
        <w:tc>
          <w:tcPr>
            <w:tcW w:w="5340" w:type="dxa"/>
            <w:vAlign w:val="bottom"/>
            <w:gridSpan w:val="3"/>
            <w:vMerge w:val="restart"/>
          </w:tcPr>
          <w:p>
            <w:pPr>
              <w:ind w:left="220"/>
              <w:spacing w:after="0"/>
              <w:rPr>
                <w:rFonts w:ascii="Arial" w:cs="Arial" w:eastAsia="Arial" w:hAnsi="Arial"/>
                <w:sz w:val="16"/>
                <w:szCs w:val="16"/>
                <w:color w:val="009A4B"/>
              </w:rPr>
            </w:pPr>
            <w:hyperlink w:anchor="page66">
              <w:r>
                <w:rPr>
                  <w:rFonts w:ascii="Arial" w:cs="Arial" w:eastAsia="Arial" w:hAnsi="Arial"/>
                  <w:sz w:val="16"/>
                  <w:szCs w:val="16"/>
                  <w:color w:val="009A4B"/>
                </w:rPr>
                <w:t>INFORMATION ABOUT STOCK OWNERSHIP</w:t>
              </w:r>
            </w:hyperlink>
          </w:p>
        </w:tc>
        <w:tc>
          <w:tcPr>
            <w:tcW w:w="280" w:type="dxa"/>
            <w:vAlign w:val="bottom"/>
            <w:vMerge w:val="restart"/>
          </w:tcPr>
          <w:p>
            <w:pPr>
              <w:jc w:val="right"/>
              <w:spacing w:after="0"/>
              <w:rPr>
                <w:rFonts w:ascii="Arial" w:cs="Arial" w:eastAsia="Arial" w:hAnsi="Arial"/>
                <w:sz w:val="16"/>
                <w:szCs w:val="16"/>
                <w:b w:val="1"/>
                <w:bCs w:val="1"/>
                <w:color w:val="009A4B"/>
              </w:rPr>
            </w:pPr>
            <w:hyperlink w:anchor="page66">
              <w:r>
                <w:rPr>
                  <w:rFonts w:ascii="Arial" w:cs="Arial" w:eastAsia="Arial" w:hAnsi="Arial"/>
                  <w:sz w:val="16"/>
                  <w:szCs w:val="16"/>
                  <w:b w:val="1"/>
                  <w:bCs w:val="1"/>
                  <w:color w:val="009A4B"/>
                </w:rPr>
                <w:t>63</w:t>
              </w:r>
            </w:hyperlink>
          </w:p>
        </w:tc>
        <w:tc>
          <w:tcPr>
            <w:tcW w:w="0" w:type="dxa"/>
            <w:vAlign w:val="bottom"/>
          </w:tcPr>
          <w:p>
            <w:pPr>
              <w:spacing w:after="0"/>
              <w:rPr>
                <w:sz w:val="1"/>
                <w:szCs w:val="1"/>
                <w:color w:val="auto"/>
              </w:rPr>
            </w:pPr>
          </w:p>
        </w:tc>
      </w:tr>
      <w:tr>
        <w:trPr>
          <w:trHeight w:val="53"/>
        </w:trPr>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340" w:type="dxa"/>
            <w:vAlign w:val="bottom"/>
            <w:gridSpan w:val="3"/>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5080" w:type="dxa"/>
            <w:vAlign w:val="bottom"/>
            <w:gridSpan w:val="4"/>
          </w:tcPr>
          <w:p>
            <w:pPr>
              <w:spacing w:after="0"/>
              <w:rPr>
                <w:rFonts w:ascii="Arial" w:cs="Arial" w:eastAsia="Arial" w:hAnsi="Arial"/>
                <w:sz w:val="16"/>
                <w:szCs w:val="16"/>
                <w:color w:val="009A4B"/>
              </w:rPr>
            </w:pPr>
            <w:hyperlink w:anchor="page11">
              <w:r>
                <w:rPr>
                  <w:rFonts w:ascii="Arial" w:cs="Arial" w:eastAsia="Arial" w:hAnsi="Arial"/>
                  <w:sz w:val="16"/>
                  <w:szCs w:val="16"/>
                  <w:color w:val="009A4B"/>
                </w:rPr>
                <w:t>CORPORATE GOVERNANCE AT AIR PRODUCTS</w:t>
              </w:r>
            </w:hyperlink>
          </w:p>
        </w:tc>
        <w:tc>
          <w:tcPr>
            <w:tcW w:w="540" w:type="dxa"/>
            <w:vAlign w:val="bottom"/>
          </w:tcPr>
          <w:p>
            <w:pPr>
              <w:jc w:val="right"/>
              <w:ind w:right="140"/>
              <w:spacing w:after="0"/>
              <w:rPr>
                <w:rFonts w:ascii="Arial" w:cs="Arial" w:eastAsia="Arial" w:hAnsi="Arial"/>
                <w:sz w:val="16"/>
                <w:szCs w:val="16"/>
                <w:b w:val="1"/>
                <w:bCs w:val="1"/>
                <w:color w:val="009A4B"/>
              </w:rPr>
            </w:pPr>
            <w:hyperlink w:anchor="page11">
              <w:r>
                <w:rPr>
                  <w:rFonts w:ascii="Arial" w:cs="Arial" w:eastAsia="Arial" w:hAnsi="Arial"/>
                  <w:sz w:val="16"/>
                  <w:szCs w:val="16"/>
                  <w:b w:val="1"/>
                  <w:bCs w:val="1"/>
                  <w:color w:val="009A4B"/>
                </w:rPr>
                <w:t>8</w:t>
              </w:r>
            </w:hyperlink>
          </w:p>
        </w:tc>
        <w:tc>
          <w:tcPr>
            <w:tcW w:w="400" w:type="dxa"/>
            <w:vAlign w:val="bottom"/>
          </w:tcPr>
          <w:p>
            <w:pPr>
              <w:spacing w:after="0"/>
              <w:rPr>
                <w:sz w:val="22"/>
                <w:szCs w:val="22"/>
                <w:color w:val="auto"/>
              </w:rPr>
            </w:pPr>
          </w:p>
        </w:tc>
        <w:tc>
          <w:tcPr>
            <w:tcW w:w="4940" w:type="dxa"/>
            <w:vAlign w:val="bottom"/>
            <w:gridSpan w:val="2"/>
          </w:tcPr>
          <w:p>
            <w:pPr>
              <w:spacing w:after="0"/>
              <w:rPr>
                <w:rFonts w:ascii="Arial" w:cs="Arial" w:eastAsia="Arial" w:hAnsi="Arial"/>
                <w:sz w:val="16"/>
                <w:szCs w:val="16"/>
                <w:color w:val="auto"/>
              </w:rPr>
            </w:pPr>
            <w:hyperlink w:anchor="page66">
              <w:r>
                <w:rPr>
                  <w:rFonts w:ascii="Arial" w:cs="Arial" w:eastAsia="Arial" w:hAnsi="Arial"/>
                  <w:sz w:val="16"/>
                  <w:szCs w:val="16"/>
                  <w:color w:val="auto"/>
                </w:rPr>
                <w:t>Persons Owning More than 5% of Air Products Stock</w:t>
              </w:r>
            </w:hyperlink>
          </w:p>
        </w:tc>
        <w:tc>
          <w:tcPr>
            <w:tcW w:w="280" w:type="dxa"/>
            <w:vAlign w:val="bottom"/>
          </w:tcPr>
          <w:p>
            <w:pPr>
              <w:jc w:val="right"/>
              <w:spacing w:after="0"/>
              <w:rPr>
                <w:rFonts w:ascii="Arial" w:cs="Arial" w:eastAsia="Arial" w:hAnsi="Arial"/>
                <w:sz w:val="16"/>
                <w:szCs w:val="16"/>
                <w:color w:val="auto"/>
              </w:rPr>
            </w:pPr>
            <w:hyperlink w:anchor="page66">
              <w:r>
                <w:rPr>
                  <w:rFonts w:ascii="Arial" w:cs="Arial" w:eastAsia="Arial" w:hAnsi="Arial"/>
                  <w:sz w:val="16"/>
                  <w:szCs w:val="16"/>
                  <w:color w:val="auto"/>
                </w:rPr>
                <w:t>63</w:t>
              </w:r>
            </w:hyperlink>
          </w:p>
        </w:tc>
        <w:tc>
          <w:tcPr>
            <w:tcW w:w="0" w:type="dxa"/>
            <w:vAlign w:val="bottom"/>
          </w:tcPr>
          <w:p>
            <w:pPr>
              <w:spacing w:after="0"/>
              <w:rPr>
                <w:sz w:val="1"/>
                <w:szCs w:val="1"/>
                <w:color w:val="auto"/>
              </w:rPr>
            </w:pPr>
          </w:p>
        </w:tc>
      </w:tr>
      <w:tr>
        <w:trPr>
          <w:trHeight w:val="280"/>
        </w:trPr>
        <w:tc>
          <w:tcPr>
            <w:tcW w:w="180" w:type="dxa"/>
            <w:vAlign w:val="bottom"/>
          </w:tcPr>
          <w:p>
            <w:pPr>
              <w:spacing w:after="0"/>
              <w:rPr>
                <w:sz w:val="24"/>
                <w:szCs w:val="24"/>
                <w:color w:val="auto"/>
              </w:rPr>
            </w:pPr>
          </w:p>
        </w:tc>
        <w:tc>
          <w:tcPr>
            <w:tcW w:w="1060" w:type="dxa"/>
            <w:vAlign w:val="bottom"/>
            <w:shd w:val="clear" w:color="auto" w:fill="009A4B"/>
          </w:tcPr>
          <w:p>
            <w:pPr>
              <w:ind w:left="60"/>
              <w:spacing w:after="0"/>
              <w:rPr>
                <w:rFonts w:ascii="Arial" w:cs="Arial" w:eastAsia="Arial" w:hAnsi="Arial"/>
                <w:sz w:val="18"/>
                <w:szCs w:val="18"/>
                <w:b w:val="1"/>
                <w:bCs w:val="1"/>
                <w:color w:val="FFFFFF"/>
                <w:shd w:val="clear" w:color="auto" w:fill="009A4B"/>
              </w:rPr>
            </w:pPr>
            <w:hyperlink w:anchor="page11">
              <w:r>
                <w:rPr>
                  <w:rFonts w:ascii="Arial" w:cs="Arial" w:eastAsia="Arial" w:hAnsi="Arial"/>
                  <w:sz w:val="18"/>
                  <w:szCs w:val="18"/>
                  <w:b w:val="1"/>
                  <w:bCs w:val="1"/>
                  <w:color w:val="FFFFFF"/>
                  <w:shd w:val="clear" w:color="auto" w:fill="009A4B"/>
                </w:rPr>
                <w:t>Proposal 1.</w:t>
              </w:r>
            </w:hyperlink>
          </w:p>
        </w:tc>
        <w:tc>
          <w:tcPr>
            <w:tcW w:w="3840" w:type="dxa"/>
            <w:vAlign w:val="bottom"/>
            <w:gridSpan w:val="2"/>
          </w:tcPr>
          <w:p>
            <w:pPr>
              <w:ind w:left="180"/>
              <w:spacing w:after="0"/>
              <w:rPr>
                <w:rFonts w:ascii="Arial" w:cs="Arial" w:eastAsia="Arial" w:hAnsi="Arial"/>
                <w:sz w:val="16"/>
                <w:szCs w:val="16"/>
                <w:color w:val="009A4B"/>
              </w:rPr>
            </w:pPr>
            <w:hyperlink w:anchor="page11">
              <w:r>
                <w:rPr>
                  <w:rFonts w:ascii="Arial" w:cs="Arial" w:eastAsia="Arial" w:hAnsi="Arial"/>
                  <w:sz w:val="16"/>
                  <w:szCs w:val="16"/>
                  <w:color w:val="009A4B"/>
                </w:rPr>
                <w:t>Election of Directors</w:t>
              </w:r>
            </w:hyperlink>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gridSpan w:val="2"/>
          </w:tcPr>
          <w:p>
            <w:pPr>
              <w:spacing w:after="0"/>
              <w:rPr>
                <w:rFonts w:ascii="Arial" w:cs="Arial" w:eastAsia="Arial" w:hAnsi="Arial"/>
                <w:sz w:val="16"/>
                <w:szCs w:val="16"/>
                <w:color w:val="auto"/>
              </w:rPr>
            </w:pPr>
            <w:hyperlink w:anchor="page67">
              <w:r>
                <w:rPr>
                  <w:rFonts w:ascii="Arial" w:cs="Arial" w:eastAsia="Arial" w:hAnsi="Arial"/>
                  <w:sz w:val="16"/>
                  <w:szCs w:val="16"/>
                  <w:color w:val="auto"/>
                </w:rPr>
                <w:t>Air Products Stock Beneficially Owned by Officers and Directors</w:t>
              </w:r>
            </w:hyperlink>
          </w:p>
        </w:tc>
        <w:tc>
          <w:tcPr>
            <w:tcW w:w="280" w:type="dxa"/>
            <w:vAlign w:val="bottom"/>
          </w:tcPr>
          <w:p>
            <w:pPr>
              <w:jc w:val="right"/>
              <w:spacing w:after="0"/>
              <w:rPr>
                <w:rFonts w:ascii="Arial" w:cs="Arial" w:eastAsia="Arial" w:hAnsi="Arial"/>
                <w:sz w:val="16"/>
                <w:szCs w:val="16"/>
                <w:color w:val="auto"/>
              </w:rPr>
            </w:pPr>
            <w:hyperlink w:anchor="page67">
              <w:r>
                <w:rPr>
                  <w:rFonts w:ascii="Arial" w:cs="Arial" w:eastAsia="Arial" w:hAnsi="Arial"/>
                  <w:sz w:val="16"/>
                  <w:szCs w:val="16"/>
                  <w:color w:val="auto"/>
                </w:rPr>
                <w:t>64</w:t>
              </w:r>
            </w:hyperlink>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4900" w:type="dxa"/>
            <w:vAlign w:val="bottom"/>
            <w:gridSpan w:val="3"/>
          </w:tcPr>
          <w:p>
            <w:pPr>
              <w:spacing w:after="0"/>
              <w:rPr>
                <w:rFonts w:ascii="Arial" w:cs="Arial" w:eastAsia="Arial" w:hAnsi="Arial"/>
                <w:sz w:val="16"/>
                <w:szCs w:val="16"/>
                <w:color w:val="auto"/>
              </w:rPr>
            </w:pPr>
            <w:hyperlink w:anchor="page11">
              <w:r>
                <w:rPr>
                  <w:rFonts w:ascii="Arial" w:cs="Arial" w:eastAsia="Arial" w:hAnsi="Arial"/>
                  <w:sz w:val="16"/>
                  <w:szCs w:val="16"/>
                  <w:color w:val="auto"/>
                </w:rPr>
                <w:t>The Board of Directors</w:t>
              </w:r>
            </w:hyperlink>
          </w:p>
        </w:tc>
        <w:tc>
          <w:tcPr>
            <w:tcW w:w="540" w:type="dxa"/>
            <w:vAlign w:val="bottom"/>
          </w:tcPr>
          <w:p>
            <w:pPr>
              <w:jc w:val="right"/>
              <w:ind w:right="140"/>
              <w:spacing w:after="0"/>
              <w:rPr>
                <w:rFonts w:ascii="Arial" w:cs="Arial" w:eastAsia="Arial" w:hAnsi="Arial"/>
                <w:sz w:val="16"/>
                <w:szCs w:val="16"/>
                <w:color w:val="auto"/>
              </w:rPr>
            </w:pPr>
            <w:hyperlink w:anchor="page11">
              <w:r>
                <w:rPr>
                  <w:rFonts w:ascii="Arial" w:cs="Arial" w:eastAsia="Arial" w:hAnsi="Arial"/>
                  <w:sz w:val="16"/>
                  <w:szCs w:val="16"/>
                  <w:color w:val="auto"/>
                </w:rPr>
                <w:t>8</w:t>
              </w:r>
            </w:hyperlink>
          </w:p>
        </w:tc>
        <w:tc>
          <w:tcPr>
            <w:tcW w:w="400" w:type="dxa"/>
            <w:vAlign w:val="bottom"/>
          </w:tcPr>
          <w:p>
            <w:pPr>
              <w:spacing w:after="0"/>
              <w:rPr>
                <w:sz w:val="20"/>
                <w:szCs w:val="20"/>
                <w:color w:val="auto"/>
              </w:rPr>
            </w:pPr>
          </w:p>
        </w:tc>
        <w:tc>
          <w:tcPr>
            <w:tcW w:w="4940" w:type="dxa"/>
            <w:vAlign w:val="bottom"/>
            <w:gridSpan w:val="2"/>
          </w:tcPr>
          <w:p>
            <w:pPr>
              <w:spacing w:after="0"/>
              <w:rPr>
                <w:rFonts w:ascii="Arial" w:cs="Arial" w:eastAsia="Arial" w:hAnsi="Arial"/>
                <w:sz w:val="16"/>
                <w:szCs w:val="16"/>
                <w:color w:val="auto"/>
              </w:rPr>
            </w:pPr>
            <w:hyperlink w:anchor="page68">
              <w:r>
                <w:rPr>
                  <w:rFonts w:ascii="Arial" w:cs="Arial" w:eastAsia="Arial" w:hAnsi="Arial"/>
                  <w:sz w:val="16"/>
                  <w:szCs w:val="16"/>
                  <w:color w:val="auto"/>
                </w:rPr>
                <w:t>Section 16(a) Beneficial Ownership Reporting</w:t>
              </w:r>
            </w:hyperlink>
          </w:p>
        </w:tc>
        <w:tc>
          <w:tcPr>
            <w:tcW w:w="280" w:type="dxa"/>
            <w:vAlign w:val="bottom"/>
          </w:tcPr>
          <w:p>
            <w:pPr>
              <w:jc w:val="right"/>
              <w:spacing w:after="0"/>
              <w:rPr>
                <w:rFonts w:ascii="Arial" w:cs="Arial" w:eastAsia="Arial" w:hAnsi="Arial"/>
                <w:sz w:val="16"/>
                <w:szCs w:val="16"/>
                <w:color w:val="auto"/>
              </w:rPr>
            </w:pPr>
            <w:hyperlink w:anchor="page68">
              <w:r>
                <w:rPr>
                  <w:rFonts w:ascii="Arial" w:cs="Arial" w:eastAsia="Arial" w:hAnsi="Arial"/>
                  <w:sz w:val="16"/>
                  <w:szCs w:val="16"/>
                  <w:color w:val="auto"/>
                </w:rPr>
                <w:t>65</w:t>
              </w:r>
            </w:hyperlink>
          </w:p>
        </w:tc>
        <w:tc>
          <w:tcPr>
            <w:tcW w:w="0" w:type="dxa"/>
            <w:vAlign w:val="bottom"/>
          </w:tcPr>
          <w:p>
            <w:pPr>
              <w:spacing w:after="0"/>
              <w:rPr>
                <w:sz w:val="1"/>
                <w:szCs w:val="1"/>
                <w:color w:val="auto"/>
              </w:rPr>
            </w:pPr>
          </w:p>
        </w:tc>
      </w:tr>
      <w:tr>
        <w:trPr>
          <w:trHeight w:val="240"/>
        </w:trPr>
        <w:tc>
          <w:tcPr>
            <w:tcW w:w="180" w:type="dxa"/>
            <w:vAlign w:val="bottom"/>
          </w:tcPr>
          <w:p>
            <w:pPr>
              <w:spacing w:after="0"/>
              <w:rPr>
                <w:sz w:val="20"/>
                <w:szCs w:val="20"/>
                <w:color w:val="auto"/>
              </w:rPr>
            </w:pPr>
          </w:p>
        </w:tc>
        <w:tc>
          <w:tcPr>
            <w:tcW w:w="4900" w:type="dxa"/>
            <w:vAlign w:val="bottom"/>
            <w:gridSpan w:val="3"/>
          </w:tcPr>
          <w:p>
            <w:pPr>
              <w:spacing w:after="0"/>
              <w:rPr>
                <w:rFonts w:ascii="Arial" w:cs="Arial" w:eastAsia="Arial" w:hAnsi="Arial"/>
                <w:sz w:val="16"/>
                <w:szCs w:val="16"/>
                <w:color w:val="auto"/>
              </w:rPr>
            </w:pPr>
            <w:hyperlink w:anchor="page19">
              <w:r>
                <w:rPr>
                  <w:rFonts w:ascii="Arial" w:cs="Arial" w:eastAsia="Arial" w:hAnsi="Arial"/>
                  <w:sz w:val="16"/>
                  <w:szCs w:val="16"/>
                  <w:color w:val="auto"/>
                </w:rPr>
                <w:t>Board Responsibilities</w:t>
              </w:r>
            </w:hyperlink>
          </w:p>
        </w:tc>
        <w:tc>
          <w:tcPr>
            <w:tcW w:w="540" w:type="dxa"/>
            <w:vAlign w:val="bottom"/>
          </w:tcPr>
          <w:p>
            <w:pPr>
              <w:jc w:val="right"/>
              <w:ind w:right="140"/>
              <w:spacing w:after="0"/>
              <w:rPr>
                <w:rFonts w:ascii="Arial" w:cs="Arial" w:eastAsia="Arial" w:hAnsi="Arial"/>
                <w:sz w:val="16"/>
                <w:szCs w:val="16"/>
                <w:color w:val="auto"/>
              </w:rPr>
            </w:pPr>
            <w:hyperlink w:anchor="page19">
              <w:r>
                <w:rPr>
                  <w:rFonts w:ascii="Arial" w:cs="Arial" w:eastAsia="Arial" w:hAnsi="Arial"/>
                  <w:sz w:val="16"/>
                  <w:szCs w:val="16"/>
                  <w:color w:val="auto"/>
                </w:rPr>
                <w:t>16</w:t>
              </w:r>
            </w:hyperlink>
          </w:p>
        </w:tc>
        <w:tc>
          <w:tcPr>
            <w:tcW w:w="400" w:type="dxa"/>
            <w:vAlign w:val="bottom"/>
          </w:tcPr>
          <w:p>
            <w:pPr>
              <w:spacing w:after="0"/>
              <w:rPr>
                <w:sz w:val="20"/>
                <w:szCs w:val="20"/>
                <w:color w:val="auto"/>
              </w:rPr>
            </w:pPr>
          </w:p>
        </w:tc>
        <w:tc>
          <w:tcPr>
            <w:tcW w:w="4940" w:type="dxa"/>
            <w:vAlign w:val="bottom"/>
            <w:gridSpan w:val="2"/>
          </w:tcPr>
          <w:p>
            <w:pPr>
              <w:spacing w:after="0"/>
              <w:rPr>
                <w:rFonts w:ascii="Arial" w:cs="Arial" w:eastAsia="Arial" w:hAnsi="Arial"/>
                <w:sz w:val="16"/>
                <w:szCs w:val="16"/>
                <w:color w:val="auto"/>
              </w:rPr>
            </w:pPr>
            <w:hyperlink w:anchor="page68">
              <w:r>
                <w:rPr>
                  <w:rFonts w:ascii="Arial" w:cs="Arial" w:eastAsia="Arial" w:hAnsi="Arial"/>
                  <w:sz w:val="16"/>
                  <w:szCs w:val="16"/>
                  <w:color w:val="auto"/>
                </w:rPr>
                <w:t>Equity Compensation Plan Information</w:t>
              </w:r>
            </w:hyperlink>
          </w:p>
        </w:tc>
        <w:tc>
          <w:tcPr>
            <w:tcW w:w="280" w:type="dxa"/>
            <w:vAlign w:val="bottom"/>
          </w:tcPr>
          <w:p>
            <w:pPr>
              <w:jc w:val="right"/>
              <w:spacing w:after="0"/>
              <w:rPr>
                <w:rFonts w:ascii="Arial" w:cs="Arial" w:eastAsia="Arial" w:hAnsi="Arial"/>
                <w:sz w:val="16"/>
                <w:szCs w:val="16"/>
                <w:color w:val="auto"/>
              </w:rPr>
            </w:pPr>
            <w:hyperlink w:anchor="page68">
              <w:r>
                <w:rPr>
                  <w:rFonts w:ascii="Arial" w:cs="Arial" w:eastAsia="Arial" w:hAnsi="Arial"/>
                  <w:sz w:val="16"/>
                  <w:szCs w:val="16"/>
                  <w:color w:val="auto"/>
                </w:rPr>
                <w:t>65</w:t>
              </w:r>
            </w:hyperlink>
          </w:p>
        </w:tc>
        <w:tc>
          <w:tcPr>
            <w:tcW w:w="0" w:type="dxa"/>
            <w:vAlign w:val="bottom"/>
          </w:tcPr>
          <w:p>
            <w:pPr>
              <w:spacing w:after="0"/>
              <w:rPr>
                <w:sz w:val="1"/>
                <w:szCs w:val="1"/>
                <w:color w:val="auto"/>
              </w:rPr>
            </w:pPr>
          </w:p>
        </w:tc>
      </w:tr>
      <w:tr>
        <w:trPr>
          <w:trHeight w:val="273"/>
        </w:trPr>
        <w:tc>
          <w:tcPr>
            <w:tcW w:w="180" w:type="dxa"/>
            <w:vAlign w:val="bottom"/>
          </w:tcPr>
          <w:p>
            <w:pPr>
              <w:spacing w:after="0"/>
              <w:rPr>
                <w:sz w:val="23"/>
                <w:szCs w:val="23"/>
                <w:color w:val="auto"/>
              </w:rPr>
            </w:pPr>
          </w:p>
        </w:tc>
        <w:tc>
          <w:tcPr>
            <w:tcW w:w="1180" w:type="dxa"/>
            <w:vAlign w:val="bottom"/>
            <w:gridSpan w:val="2"/>
          </w:tcPr>
          <w:p>
            <w:pPr>
              <w:spacing w:after="0"/>
              <w:rPr>
                <w:rFonts w:ascii="Arial" w:cs="Arial" w:eastAsia="Arial" w:hAnsi="Arial"/>
                <w:sz w:val="16"/>
                <w:szCs w:val="16"/>
                <w:color w:val="auto"/>
              </w:rPr>
            </w:pPr>
            <w:hyperlink w:anchor="page23">
              <w:r>
                <w:rPr>
                  <w:rFonts w:ascii="Arial" w:cs="Arial" w:eastAsia="Arial" w:hAnsi="Arial"/>
                  <w:sz w:val="16"/>
                  <w:szCs w:val="16"/>
                  <w:color w:val="auto"/>
                </w:rPr>
                <w:t>Board Structure</w:t>
              </w:r>
            </w:hyperlink>
          </w:p>
        </w:tc>
        <w:tc>
          <w:tcPr>
            <w:tcW w:w="3720" w:type="dxa"/>
            <w:vAlign w:val="bottom"/>
          </w:tcPr>
          <w:p>
            <w:pPr>
              <w:spacing w:after="0"/>
              <w:rPr>
                <w:sz w:val="23"/>
                <w:szCs w:val="23"/>
                <w:color w:val="auto"/>
              </w:rPr>
            </w:pPr>
          </w:p>
        </w:tc>
        <w:tc>
          <w:tcPr>
            <w:tcW w:w="540" w:type="dxa"/>
            <w:vAlign w:val="bottom"/>
          </w:tcPr>
          <w:p>
            <w:pPr>
              <w:jc w:val="right"/>
              <w:ind w:right="140"/>
              <w:spacing w:after="0"/>
              <w:rPr>
                <w:rFonts w:ascii="Arial" w:cs="Arial" w:eastAsia="Arial" w:hAnsi="Arial"/>
                <w:sz w:val="16"/>
                <w:szCs w:val="16"/>
                <w:color w:val="auto"/>
              </w:rPr>
            </w:pPr>
            <w:hyperlink w:anchor="page23">
              <w:r>
                <w:rPr>
                  <w:rFonts w:ascii="Arial" w:cs="Arial" w:eastAsia="Arial" w:hAnsi="Arial"/>
                  <w:sz w:val="16"/>
                  <w:szCs w:val="16"/>
                  <w:color w:val="auto"/>
                </w:rPr>
                <w:t>20</w:t>
              </w:r>
            </w:hyperlink>
          </w:p>
        </w:tc>
        <w:tc>
          <w:tcPr>
            <w:tcW w:w="5340" w:type="dxa"/>
            <w:vAlign w:val="bottom"/>
            <w:gridSpan w:val="3"/>
          </w:tcPr>
          <w:p>
            <w:pPr>
              <w:ind w:left="220"/>
              <w:spacing w:after="0"/>
              <w:rPr>
                <w:rFonts w:ascii="Arial" w:cs="Arial" w:eastAsia="Arial" w:hAnsi="Arial"/>
                <w:sz w:val="16"/>
                <w:szCs w:val="16"/>
                <w:color w:val="009A4B"/>
              </w:rPr>
            </w:pPr>
            <w:hyperlink w:anchor="page69">
              <w:r>
                <w:rPr>
                  <w:rFonts w:ascii="Arial" w:cs="Arial" w:eastAsia="Arial" w:hAnsi="Arial"/>
                  <w:sz w:val="16"/>
                  <w:szCs w:val="16"/>
                  <w:color w:val="009A4B"/>
                </w:rPr>
                <w:t>ADDITIONAL INFORMATION</w:t>
              </w:r>
            </w:hyperlink>
          </w:p>
        </w:tc>
        <w:tc>
          <w:tcPr>
            <w:tcW w:w="280" w:type="dxa"/>
            <w:vAlign w:val="bottom"/>
          </w:tcPr>
          <w:p>
            <w:pPr>
              <w:jc w:val="right"/>
              <w:spacing w:after="0"/>
              <w:rPr>
                <w:rFonts w:ascii="Arial" w:cs="Arial" w:eastAsia="Arial" w:hAnsi="Arial"/>
                <w:sz w:val="16"/>
                <w:szCs w:val="16"/>
                <w:b w:val="1"/>
                <w:bCs w:val="1"/>
                <w:color w:val="009A4B"/>
              </w:rPr>
            </w:pPr>
            <w:hyperlink w:anchor="page69">
              <w:r>
                <w:rPr>
                  <w:rFonts w:ascii="Arial" w:cs="Arial" w:eastAsia="Arial" w:hAnsi="Arial"/>
                  <w:sz w:val="16"/>
                  <w:szCs w:val="16"/>
                  <w:b w:val="1"/>
                  <w:bCs w:val="1"/>
                  <w:color w:val="009A4B"/>
                </w:rPr>
                <w:t>66</w:t>
              </w:r>
            </w:hyperlink>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4900" w:type="dxa"/>
            <w:vAlign w:val="bottom"/>
            <w:gridSpan w:val="3"/>
          </w:tcPr>
          <w:p>
            <w:pPr>
              <w:spacing w:after="0"/>
              <w:rPr>
                <w:rFonts w:ascii="Arial" w:cs="Arial" w:eastAsia="Arial" w:hAnsi="Arial"/>
                <w:sz w:val="16"/>
                <w:szCs w:val="16"/>
                <w:color w:val="auto"/>
              </w:rPr>
            </w:pPr>
            <w:hyperlink w:anchor="page26">
              <w:r>
                <w:rPr>
                  <w:rFonts w:ascii="Arial" w:cs="Arial" w:eastAsia="Arial" w:hAnsi="Arial"/>
                  <w:sz w:val="16"/>
                  <w:szCs w:val="16"/>
                  <w:color w:val="auto"/>
                </w:rPr>
                <w:t>Board Practices, Processes and Policies</w:t>
              </w:r>
            </w:hyperlink>
          </w:p>
        </w:tc>
        <w:tc>
          <w:tcPr>
            <w:tcW w:w="540" w:type="dxa"/>
            <w:vAlign w:val="bottom"/>
          </w:tcPr>
          <w:p>
            <w:pPr>
              <w:jc w:val="right"/>
              <w:ind w:right="140"/>
              <w:spacing w:after="0"/>
              <w:rPr>
                <w:rFonts w:ascii="Arial" w:cs="Arial" w:eastAsia="Arial" w:hAnsi="Arial"/>
                <w:sz w:val="16"/>
                <w:szCs w:val="16"/>
                <w:color w:val="auto"/>
              </w:rPr>
            </w:pPr>
            <w:hyperlink w:anchor="page26">
              <w:r>
                <w:rPr>
                  <w:rFonts w:ascii="Arial" w:cs="Arial" w:eastAsia="Arial" w:hAnsi="Arial"/>
                  <w:sz w:val="16"/>
                  <w:szCs w:val="16"/>
                  <w:color w:val="auto"/>
                </w:rPr>
                <w:t>23</w:t>
              </w:r>
            </w:hyperlink>
          </w:p>
        </w:tc>
        <w:tc>
          <w:tcPr>
            <w:tcW w:w="400" w:type="dxa"/>
            <w:vAlign w:val="bottom"/>
          </w:tcPr>
          <w:p>
            <w:pPr>
              <w:spacing w:after="0"/>
              <w:rPr>
                <w:sz w:val="16"/>
                <w:szCs w:val="16"/>
                <w:color w:val="auto"/>
              </w:rPr>
            </w:pPr>
          </w:p>
        </w:tc>
        <w:tc>
          <w:tcPr>
            <w:tcW w:w="4940" w:type="dxa"/>
            <w:vAlign w:val="bottom"/>
            <w:gridSpan w:val="2"/>
            <w:vMerge w:val="restart"/>
          </w:tcPr>
          <w:p>
            <w:pPr>
              <w:spacing w:after="0"/>
              <w:rPr>
                <w:rFonts w:ascii="Arial" w:cs="Arial" w:eastAsia="Arial" w:hAnsi="Arial"/>
                <w:sz w:val="16"/>
                <w:szCs w:val="16"/>
                <w:color w:val="auto"/>
              </w:rPr>
            </w:pPr>
            <w:hyperlink w:anchor="page69">
              <w:r>
                <w:rPr>
                  <w:rFonts w:ascii="Arial" w:cs="Arial" w:eastAsia="Arial" w:hAnsi="Arial"/>
                  <w:sz w:val="16"/>
                  <w:szCs w:val="16"/>
                  <w:color w:val="auto"/>
                </w:rPr>
                <w:t>Questions and Answers on Voting and the Annual Meeting</w:t>
              </w:r>
            </w:hyperlink>
          </w:p>
        </w:tc>
        <w:tc>
          <w:tcPr>
            <w:tcW w:w="280" w:type="dxa"/>
            <w:vAlign w:val="bottom"/>
            <w:vMerge w:val="restart"/>
          </w:tcPr>
          <w:p>
            <w:pPr>
              <w:jc w:val="right"/>
              <w:spacing w:after="0"/>
              <w:rPr>
                <w:rFonts w:ascii="Arial" w:cs="Arial" w:eastAsia="Arial" w:hAnsi="Arial"/>
                <w:sz w:val="16"/>
                <w:szCs w:val="16"/>
                <w:color w:val="auto"/>
              </w:rPr>
            </w:pPr>
            <w:hyperlink w:anchor="page69">
              <w:r>
                <w:rPr>
                  <w:rFonts w:ascii="Arial" w:cs="Arial" w:eastAsia="Arial" w:hAnsi="Arial"/>
                  <w:sz w:val="16"/>
                  <w:szCs w:val="16"/>
                  <w:color w:val="auto"/>
                </w:rPr>
                <w:t>66</w:t>
              </w:r>
            </w:hyperlink>
          </w:p>
        </w:tc>
        <w:tc>
          <w:tcPr>
            <w:tcW w:w="0" w:type="dxa"/>
            <w:vAlign w:val="bottom"/>
          </w:tcPr>
          <w:p>
            <w:pPr>
              <w:spacing w:after="0"/>
              <w:rPr>
                <w:sz w:val="1"/>
                <w:szCs w:val="1"/>
                <w:color w:val="auto"/>
              </w:rPr>
            </w:pPr>
          </w:p>
        </w:tc>
      </w:tr>
      <w:tr>
        <w:trPr>
          <w:trHeight w:val="120"/>
        </w:trPr>
        <w:tc>
          <w:tcPr>
            <w:tcW w:w="180" w:type="dxa"/>
            <w:vAlign w:val="bottom"/>
          </w:tcPr>
          <w:p>
            <w:pPr>
              <w:spacing w:after="0"/>
              <w:rPr>
                <w:sz w:val="10"/>
                <w:szCs w:val="10"/>
                <w:color w:val="auto"/>
              </w:rPr>
            </w:pPr>
          </w:p>
        </w:tc>
        <w:tc>
          <w:tcPr>
            <w:tcW w:w="4900" w:type="dxa"/>
            <w:vAlign w:val="bottom"/>
            <w:gridSpan w:val="3"/>
            <w:vMerge w:val="restart"/>
          </w:tcPr>
          <w:p>
            <w:pPr>
              <w:spacing w:after="0"/>
              <w:rPr>
                <w:rFonts w:ascii="Arial" w:cs="Arial" w:eastAsia="Arial" w:hAnsi="Arial"/>
                <w:sz w:val="16"/>
                <w:szCs w:val="16"/>
                <w:color w:val="auto"/>
              </w:rPr>
            </w:pPr>
            <w:hyperlink w:anchor="page27">
              <w:r>
                <w:rPr>
                  <w:rFonts w:ascii="Arial" w:cs="Arial" w:eastAsia="Arial" w:hAnsi="Arial"/>
                  <w:sz w:val="16"/>
                  <w:szCs w:val="16"/>
                  <w:color w:val="auto"/>
                </w:rPr>
                <w:t>Compensation of Directors</w:t>
              </w:r>
            </w:hyperlink>
          </w:p>
        </w:tc>
        <w:tc>
          <w:tcPr>
            <w:tcW w:w="540" w:type="dxa"/>
            <w:vAlign w:val="bottom"/>
            <w:vMerge w:val="restart"/>
          </w:tcPr>
          <w:p>
            <w:pPr>
              <w:jc w:val="right"/>
              <w:ind w:right="140"/>
              <w:spacing w:after="0"/>
              <w:rPr>
                <w:rFonts w:ascii="Arial" w:cs="Arial" w:eastAsia="Arial" w:hAnsi="Arial"/>
                <w:sz w:val="16"/>
                <w:szCs w:val="16"/>
                <w:color w:val="auto"/>
              </w:rPr>
            </w:pPr>
            <w:hyperlink w:anchor="page27">
              <w:r>
                <w:rPr>
                  <w:rFonts w:ascii="Arial" w:cs="Arial" w:eastAsia="Arial" w:hAnsi="Arial"/>
                  <w:sz w:val="16"/>
                  <w:szCs w:val="16"/>
                  <w:color w:val="auto"/>
                </w:rPr>
                <w:t>24</w:t>
              </w:r>
            </w:hyperlink>
          </w:p>
        </w:tc>
        <w:tc>
          <w:tcPr>
            <w:tcW w:w="400" w:type="dxa"/>
            <w:vAlign w:val="bottom"/>
          </w:tcPr>
          <w:p>
            <w:pPr>
              <w:spacing w:after="0"/>
              <w:rPr>
                <w:sz w:val="10"/>
                <w:szCs w:val="10"/>
                <w:color w:val="auto"/>
              </w:rPr>
            </w:pPr>
          </w:p>
        </w:tc>
        <w:tc>
          <w:tcPr>
            <w:tcW w:w="494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80" w:type="dxa"/>
            <w:vAlign w:val="bottom"/>
          </w:tcPr>
          <w:p>
            <w:pPr>
              <w:spacing w:after="0"/>
              <w:rPr>
                <w:sz w:val="10"/>
                <w:szCs w:val="10"/>
                <w:color w:val="auto"/>
              </w:rPr>
            </w:pPr>
          </w:p>
        </w:tc>
        <w:tc>
          <w:tcPr>
            <w:tcW w:w="4900" w:type="dxa"/>
            <w:vAlign w:val="bottom"/>
            <w:gridSpan w:val="3"/>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4940" w:type="dxa"/>
            <w:vAlign w:val="bottom"/>
            <w:gridSpan w:val="2"/>
            <w:vMerge w:val="restart"/>
          </w:tcPr>
          <w:p>
            <w:pPr>
              <w:spacing w:after="0"/>
              <w:rPr>
                <w:rFonts w:ascii="Arial" w:cs="Arial" w:eastAsia="Arial" w:hAnsi="Arial"/>
                <w:sz w:val="16"/>
                <w:szCs w:val="16"/>
                <w:color w:val="auto"/>
              </w:rPr>
            </w:pPr>
            <w:hyperlink w:anchor="page74">
              <w:r>
                <w:rPr>
                  <w:rFonts w:ascii="Arial" w:cs="Arial" w:eastAsia="Arial" w:hAnsi="Arial"/>
                  <w:sz w:val="16"/>
                  <w:szCs w:val="16"/>
                  <w:color w:val="auto"/>
                </w:rPr>
                <w:t>Appendix A – Reconciliation of Non-GAAP Financial Measures</w:t>
              </w:r>
            </w:hyperlink>
          </w:p>
        </w:tc>
        <w:tc>
          <w:tcPr>
            <w:tcW w:w="280" w:type="dxa"/>
            <w:vAlign w:val="bottom"/>
            <w:vMerge w:val="restart"/>
          </w:tcPr>
          <w:p>
            <w:pPr>
              <w:jc w:val="right"/>
              <w:spacing w:after="0"/>
              <w:rPr>
                <w:rFonts w:ascii="Arial" w:cs="Arial" w:eastAsia="Arial" w:hAnsi="Arial"/>
                <w:sz w:val="16"/>
                <w:szCs w:val="16"/>
                <w:color w:val="auto"/>
              </w:rPr>
            </w:pPr>
            <w:hyperlink w:anchor="page74">
              <w:r>
                <w:rPr>
                  <w:rFonts w:ascii="Arial" w:cs="Arial" w:eastAsia="Arial" w:hAnsi="Arial"/>
                  <w:sz w:val="16"/>
                  <w:szCs w:val="16"/>
                  <w:color w:val="auto"/>
                </w:rPr>
                <w:t>A-1</w:t>
              </w:r>
            </w:hyperlink>
          </w:p>
        </w:tc>
        <w:tc>
          <w:tcPr>
            <w:tcW w:w="0" w:type="dxa"/>
            <w:vAlign w:val="bottom"/>
          </w:tcPr>
          <w:p>
            <w:pPr>
              <w:spacing w:after="0"/>
              <w:rPr>
                <w:sz w:val="1"/>
                <w:szCs w:val="1"/>
                <w:color w:val="auto"/>
              </w:rPr>
            </w:pPr>
          </w:p>
        </w:tc>
      </w:tr>
      <w:tr>
        <w:trPr>
          <w:trHeight w:val="120"/>
        </w:trPr>
        <w:tc>
          <w:tcPr>
            <w:tcW w:w="5080" w:type="dxa"/>
            <w:vAlign w:val="bottom"/>
            <w:gridSpan w:val="4"/>
            <w:vMerge w:val="restart"/>
          </w:tcPr>
          <w:p>
            <w:pPr>
              <w:spacing w:after="0"/>
              <w:rPr>
                <w:rFonts w:ascii="Arial" w:cs="Arial" w:eastAsia="Arial" w:hAnsi="Arial"/>
                <w:sz w:val="16"/>
                <w:szCs w:val="16"/>
                <w:color w:val="009A4B"/>
              </w:rPr>
            </w:pPr>
            <w:hyperlink w:anchor="page30">
              <w:r>
                <w:rPr>
                  <w:rFonts w:ascii="Arial" w:cs="Arial" w:eastAsia="Arial" w:hAnsi="Arial"/>
                  <w:sz w:val="16"/>
                  <w:szCs w:val="16"/>
                  <w:color w:val="009A4B"/>
                </w:rPr>
                <w:t>EXECUTIVE COMPENSATION</w:t>
              </w:r>
            </w:hyperlink>
          </w:p>
        </w:tc>
        <w:tc>
          <w:tcPr>
            <w:tcW w:w="540" w:type="dxa"/>
            <w:vAlign w:val="bottom"/>
            <w:vMerge w:val="restart"/>
          </w:tcPr>
          <w:p>
            <w:pPr>
              <w:jc w:val="right"/>
              <w:ind w:right="140"/>
              <w:spacing w:after="0"/>
              <w:rPr>
                <w:rFonts w:ascii="Arial" w:cs="Arial" w:eastAsia="Arial" w:hAnsi="Arial"/>
                <w:sz w:val="16"/>
                <w:szCs w:val="16"/>
                <w:b w:val="1"/>
                <w:bCs w:val="1"/>
                <w:color w:val="009A4B"/>
              </w:rPr>
            </w:pPr>
            <w:hyperlink w:anchor="page30">
              <w:r>
                <w:rPr>
                  <w:rFonts w:ascii="Arial" w:cs="Arial" w:eastAsia="Arial" w:hAnsi="Arial"/>
                  <w:sz w:val="16"/>
                  <w:szCs w:val="16"/>
                  <w:b w:val="1"/>
                  <w:bCs w:val="1"/>
                  <w:color w:val="009A4B"/>
                </w:rPr>
                <w:t>27</w:t>
              </w:r>
            </w:hyperlink>
          </w:p>
        </w:tc>
        <w:tc>
          <w:tcPr>
            <w:tcW w:w="400" w:type="dxa"/>
            <w:vAlign w:val="bottom"/>
          </w:tcPr>
          <w:p>
            <w:pPr>
              <w:spacing w:after="0"/>
              <w:rPr>
                <w:sz w:val="10"/>
                <w:szCs w:val="10"/>
                <w:color w:val="auto"/>
              </w:rPr>
            </w:pPr>
          </w:p>
        </w:tc>
        <w:tc>
          <w:tcPr>
            <w:tcW w:w="494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80" w:type="dxa"/>
            <w:vAlign w:val="bottom"/>
            <w:gridSpan w:val="4"/>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4940" w:type="dxa"/>
            <w:vAlign w:val="bottom"/>
            <w:gridSpan w:val="2"/>
            <w:vMerge w:val="restart"/>
          </w:tcPr>
          <w:p>
            <w:pPr>
              <w:spacing w:after="0"/>
              <w:rPr>
                <w:rFonts w:ascii="Arial" w:cs="Arial" w:eastAsia="Arial" w:hAnsi="Arial"/>
                <w:sz w:val="16"/>
                <w:szCs w:val="16"/>
                <w:color w:val="auto"/>
              </w:rPr>
            </w:pPr>
            <w:hyperlink w:anchor="page76">
              <w:r>
                <w:rPr>
                  <w:rFonts w:ascii="Arial" w:cs="Arial" w:eastAsia="Arial" w:hAnsi="Arial"/>
                  <w:sz w:val="16"/>
                  <w:szCs w:val="16"/>
                  <w:color w:val="auto"/>
                </w:rPr>
                <w:t>Appendix B – Survey Reference Group</w:t>
              </w:r>
            </w:hyperlink>
          </w:p>
        </w:tc>
        <w:tc>
          <w:tcPr>
            <w:tcW w:w="280" w:type="dxa"/>
            <w:vAlign w:val="bottom"/>
            <w:vMerge w:val="restart"/>
          </w:tcPr>
          <w:p>
            <w:pPr>
              <w:jc w:val="right"/>
              <w:spacing w:after="0"/>
              <w:rPr>
                <w:rFonts w:ascii="Arial" w:cs="Arial" w:eastAsia="Arial" w:hAnsi="Arial"/>
                <w:sz w:val="16"/>
                <w:szCs w:val="16"/>
                <w:color w:val="auto"/>
              </w:rPr>
            </w:pPr>
            <w:hyperlink w:anchor="page76">
              <w:r>
                <w:rPr>
                  <w:rFonts w:ascii="Arial" w:cs="Arial" w:eastAsia="Arial" w:hAnsi="Arial"/>
                  <w:sz w:val="16"/>
                  <w:szCs w:val="16"/>
                  <w:color w:val="auto"/>
                </w:rPr>
                <w:t>B-1</w:t>
              </w:r>
            </w:hyperlink>
          </w:p>
        </w:tc>
        <w:tc>
          <w:tcPr>
            <w:tcW w:w="0" w:type="dxa"/>
            <w:vAlign w:val="bottom"/>
          </w:tcPr>
          <w:p>
            <w:pPr>
              <w:spacing w:after="0"/>
              <w:rPr>
                <w:sz w:val="1"/>
                <w:szCs w:val="1"/>
                <w:color w:val="auto"/>
              </w:rPr>
            </w:pPr>
          </w:p>
        </w:tc>
      </w:tr>
      <w:tr>
        <w:trPr>
          <w:trHeight w:val="69"/>
        </w:trPr>
        <w:tc>
          <w:tcPr>
            <w:tcW w:w="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940" w:type="dxa"/>
            <w:vAlign w:val="bottom"/>
            <w:gridSpan w:val="2"/>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180" w:type="dxa"/>
            <w:vAlign w:val="bottom"/>
          </w:tcPr>
          <w:p>
            <w:pPr>
              <w:spacing w:after="0"/>
              <w:rPr>
                <w:sz w:val="22"/>
                <w:szCs w:val="22"/>
                <w:color w:val="auto"/>
              </w:rPr>
            </w:pPr>
          </w:p>
        </w:tc>
        <w:tc>
          <w:tcPr>
            <w:tcW w:w="1060" w:type="dxa"/>
            <w:vAlign w:val="bottom"/>
            <w:tcBorders>
              <w:bottom w:val="single" w:sz="8" w:color="009A4B"/>
            </w:tcBorders>
            <w:shd w:val="clear" w:color="auto" w:fill="009A4B"/>
          </w:tcPr>
          <w:p>
            <w:pPr>
              <w:ind w:left="60"/>
              <w:spacing w:after="0"/>
              <w:rPr>
                <w:rFonts w:ascii="Arial" w:cs="Arial" w:eastAsia="Arial" w:hAnsi="Arial"/>
                <w:sz w:val="18"/>
                <w:szCs w:val="18"/>
                <w:b w:val="1"/>
                <w:bCs w:val="1"/>
                <w:color w:val="FFFFFF"/>
                <w:shd w:val="clear" w:color="auto" w:fill="009A4B"/>
              </w:rPr>
            </w:pPr>
            <w:hyperlink w:anchor="page30">
              <w:r>
                <w:rPr>
                  <w:rFonts w:ascii="Arial" w:cs="Arial" w:eastAsia="Arial" w:hAnsi="Arial"/>
                  <w:sz w:val="18"/>
                  <w:szCs w:val="18"/>
                  <w:b w:val="1"/>
                  <w:bCs w:val="1"/>
                  <w:color w:val="FFFFFF"/>
                  <w:shd w:val="clear" w:color="auto" w:fill="009A4B"/>
                </w:rPr>
                <w:t>Proposal 2.</w:t>
              </w:r>
            </w:hyperlink>
          </w:p>
        </w:tc>
        <w:tc>
          <w:tcPr>
            <w:tcW w:w="120" w:type="dxa"/>
            <w:vAlign w:val="bottom"/>
          </w:tcPr>
          <w:p>
            <w:pPr>
              <w:spacing w:after="0"/>
              <w:rPr>
                <w:sz w:val="22"/>
                <w:szCs w:val="22"/>
                <w:color w:val="auto"/>
              </w:rPr>
            </w:pPr>
          </w:p>
        </w:tc>
        <w:tc>
          <w:tcPr>
            <w:tcW w:w="3720" w:type="dxa"/>
            <w:vAlign w:val="bottom"/>
          </w:tcPr>
          <w:p>
            <w:pPr>
              <w:ind w:left="60"/>
              <w:spacing w:after="0"/>
              <w:rPr>
                <w:rFonts w:ascii="Arial" w:cs="Arial" w:eastAsia="Arial" w:hAnsi="Arial"/>
                <w:sz w:val="16"/>
                <w:szCs w:val="16"/>
                <w:color w:val="009A4B"/>
              </w:rPr>
            </w:pPr>
            <w:hyperlink w:anchor="page30">
              <w:r>
                <w:rPr>
                  <w:rFonts w:ascii="Arial" w:cs="Arial" w:eastAsia="Arial" w:hAnsi="Arial"/>
                  <w:sz w:val="16"/>
                  <w:szCs w:val="16"/>
                  <w:color w:val="009A4B"/>
                </w:rPr>
                <w:t>Advisory Vote on Executive Officer Compensation</w:t>
              </w:r>
            </w:hyperlink>
          </w:p>
        </w:tc>
        <w:tc>
          <w:tcPr>
            <w:tcW w:w="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180" w:type="dxa"/>
            <w:vAlign w:val="bottom"/>
          </w:tcPr>
          <w:p>
            <w:pPr>
              <w:spacing w:after="0"/>
              <w:rPr>
                <w:sz w:val="24"/>
                <w:szCs w:val="24"/>
                <w:color w:val="auto"/>
              </w:rPr>
            </w:pPr>
          </w:p>
        </w:tc>
        <w:tc>
          <w:tcPr>
            <w:tcW w:w="4900" w:type="dxa"/>
            <w:vAlign w:val="bottom"/>
            <w:gridSpan w:val="3"/>
          </w:tcPr>
          <w:p>
            <w:pPr>
              <w:spacing w:after="0"/>
              <w:rPr>
                <w:rFonts w:ascii="Arial" w:cs="Arial" w:eastAsia="Arial" w:hAnsi="Arial"/>
                <w:sz w:val="16"/>
                <w:szCs w:val="16"/>
                <w:color w:val="auto"/>
              </w:rPr>
            </w:pPr>
            <w:hyperlink w:anchor="page31">
              <w:r>
                <w:rPr>
                  <w:rFonts w:ascii="Arial" w:cs="Arial" w:eastAsia="Arial" w:hAnsi="Arial"/>
                  <w:sz w:val="16"/>
                  <w:szCs w:val="16"/>
                  <w:color w:val="auto"/>
                </w:rPr>
                <w:t>Report of the Management Development and Compensation</w:t>
              </w:r>
            </w:hyperlink>
          </w:p>
        </w:tc>
        <w:tc>
          <w:tcPr>
            <w:tcW w:w="540" w:type="dxa"/>
            <w:vAlign w:val="bottom"/>
          </w:tcPr>
          <w:p>
            <w:pPr>
              <w:jc w:val="right"/>
              <w:ind w:right="140"/>
              <w:spacing w:after="0"/>
              <w:rPr>
                <w:rFonts w:ascii="Arial" w:cs="Arial" w:eastAsia="Arial" w:hAnsi="Arial"/>
                <w:sz w:val="16"/>
                <w:szCs w:val="16"/>
                <w:color w:val="auto"/>
              </w:rPr>
            </w:pPr>
            <w:hyperlink w:anchor="page31">
              <w:r>
                <w:rPr>
                  <w:rFonts w:ascii="Arial" w:cs="Arial" w:eastAsia="Arial" w:hAnsi="Arial"/>
                  <w:sz w:val="16"/>
                  <w:szCs w:val="16"/>
                  <w:color w:val="auto"/>
                </w:rPr>
                <w:t>28</w:t>
              </w:r>
            </w:hyperlink>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1180" w:type="dxa"/>
            <w:vAlign w:val="bottom"/>
            <w:gridSpan w:val="2"/>
          </w:tcPr>
          <w:p>
            <w:pPr>
              <w:spacing w:after="0"/>
              <w:rPr>
                <w:rFonts w:ascii="Arial" w:cs="Arial" w:eastAsia="Arial" w:hAnsi="Arial"/>
                <w:sz w:val="16"/>
                <w:szCs w:val="16"/>
                <w:color w:val="auto"/>
              </w:rPr>
            </w:pPr>
            <w:hyperlink w:anchor="page31">
              <w:r>
                <w:rPr>
                  <w:rFonts w:ascii="Arial" w:cs="Arial" w:eastAsia="Arial" w:hAnsi="Arial"/>
                  <w:sz w:val="16"/>
                  <w:szCs w:val="16"/>
                  <w:color w:val="auto"/>
                </w:rPr>
                <w:t>Committee</w:t>
              </w:r>
            </w:hyperlink>
          </w:p>
        </w:tc>
        <w:tc>
          <w:tcPr>
            <w:tcW w:w="3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80" w:type="dxa"/>
            <w:vAlign w:val="bottom"/>
          </w:tcPr>
          <w:p>
            <w:pPr>
              <w:spacing w:after="0"/>
              <w:rPr>
                <w:sz w:val="20"/>
                <w:szCs w:val="20"/>
                <w:color w:val="auto"/>
              </w:rPr>
            </w:pPr>
          </w:p>
        </w:tc>
        <w:tc>
          <w:tcPr>
            <w:tcW w:w="4900" w:type="dxa"/>
            <w:vAlign w:val="bottom"/>
            <w:gridSpan w:val="3"/>
          </w:tcPr>
          <w:p>
            <w:pPr>
              <w:spacing w:after="0"/>
              <w:rPr>
                <w:rFonts w:ascii="Arial" w:cs="Arial" w:eastAsia="Arial" w:hAnsi="Arial"/>
                <w:sz w:val="16"/>
                <w:szCs w:val="16"/>
                <w:color w:val="auto"/>
              </w:rPr>
            </w:pPr>
            <w:hyperlink w:anchor="page31">
              <w:r>
                <w:rPr>
                  <w:rFonts w:ascii="Arial" w:cs="Arial" w:eastAsia="Arial" w:hAnsi="Arial"/>
                  <w:sz w:val="16"/>
                  <w:szCs w:val="16"/>
                  <w:color w:val="auto"/>
                </w:rPr>
                <w:t>Compensation Discussion and Analysis</w:t>
              </w:r>
            </w:hyperlink>
          </w:p>
        </w:tc>
        <w:tc>
          <w:tcPr>
            <w:tcW w:w="540" w:type="dxa"/>
            <w:vAlign w:val="bottom"/>
          </w:tcPr>
          <w:p>
            <w:pPr>
              <w:jc w:val="right"/>
              <w:ind w:right="140"/>
              <w:spacing w:after="0"/>
              <w:rPr>
                <w:rFonts w:ascii="Arial" w:cs="Arial" w:eastAsia="Arial" w:hAnsi="Arial"/>
                <w:sz w:val="16"/>
                <w:szCs w:val="16"/>
                <w:color w:val="auto"/>
              </w:rPr>
            </w:pPr>
            <w:hyperlink w:anchor="page31">
              <w:r>
                <w:rPr>
                  <w:rFonts w:ascii="Arial" w:cs="Arial" w:eastAsia="Arial" w:hAnsi="Arial"/>
                  <w:sz w:val="16"/>
                  <w:szCs w:val="16"/>
                  <w:color w:val="auto"/>
                </w:rPr>
                <w:t>28</w:t>
              </w:r>
            </w:hyperlink>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80" w:type="dxa"/>
            <w:vAlign w:val="bottom"/>
          </w:tcPr>
          <w:p>
            <w:pPr>
              <w:spacing w:after="0"/>
              <w:rPr>
                <w:sz w:val="20"/>
                <w:szCs w:val="20"/>
                <w:color w:val="auto"/>
              </w:rPr>
            </w:pPr>
          </w:p>
        </w:tc>
        <w:tc>
          <w:tcPr>
            <w:tcW w:w="4900" w:type="dxa"/>
            <w:vAlign w:val="bottom"/>
            <w:gridSpan w:val="3"/>
          </w:tcPr>
          <w:p>
            <w:pPr>
              <w:ind w:left="180"/>
              <w:spacing w:after="0"/>
              <w:rPr>
                <w:rFonts w:ascii="Arial" w:cs="Arial" w:eastAsia="Arial" w:hAnsi="Arial"/>
                <w:sz w:val="16"/>
                <w:szCs w:val="16"/>
                <w:color w:val="auto"/>
              </w:rPr>
            </w:pPr>
            <w:hyperlink w:anchor="page32">
              <w:r>
                <w:rPr>
                  <w:rFonts w:ascii="Arial" w:cs="Arial" w:eastAsia="Arial" w:hAnsi="Arial"/>
                  <w:sz w:val="16"/>
                  <w:szCs w:val="16"/>
                  <w:color w:val="auto"/>
                </w:rPr>
                <w:t>Highlights of Fiscal 2021 Company Performance and</w:t>
              </w:r>
            </w:hyperlink>
          </w:p>
        </w:tc>
        <w:tc>
          <w:tcPr>
            <w:tcW w:w="540" w:type="dxa"/>
            <w:vAlign w:val="bottom"/>
          </w:tcPr>
          <w:p>
            <w:pPr>
              <w:jc w:val="right"/>
              <w:ind w:right="140"/>
              <w:spacing w:after="0"/>
              <w:rPr>
                <w:rFonts w:ascii="Arial" w:cs="Arial" w:eastAsia="Arial" w:hAnsi="Arial"/>
                <w:sz w:val="16"/>
                <w:szCs w:val="16"/>
                <w:color w:val="auto"/>
              </w:rPr>
            </w:pPr>
            <w:hyperlink w:anchor="page32">
              <w:r>
                <w:rPr>
                  <w:rFonts w:ascii="Arial" w:cs="Arial" w:eastAsia="Arial" w:hAnsi="Arial"/>
                  <w:sz w:val="16"/>
                  <w:szCs w:val="16"/>
                  <w:color w:val="auto"/>
                </w:rPr>
                <w:t>29</w:t>
              </w:r>
            </w:hyperlink>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4900" w:type="dxa"/>
            <w:vAlign w:val="bottom"/>
            <w:gridSpan w:val="3"/>
          </w:tcPr>
          <w:p>
            <w:pPr>
              <w:ind w:left="180"/>
              <w:spacing w:after="0"/>
              <w:rPr>
                <w:rFonts w:ascii="Arial" w:cs="Arial" w:eastAsia="Arial" w:hAnsi="Arial"/>
                <w:sz w:val="16"/>
                <w:szCs w:val="16"/>
                <w:color w:val="auto"/>
              </w:rPr>
            </w:pPr>
            <w:hyperlink w:anchor="page32">
              <w:r>
                <w:rPr>
                  <w:rFonts w:ascii="Arial" w:cs="Arial" w:eastAsia="Arial" w:hAnsi="Arial"/>
                  <w:sz w:val="16"/>
                  <w:szCs w:val="16"/>
                  <w:color w:val="auto"/>
                </w:rPr>
                <w:t>Compensation Actions</w:t>
              </w:r>
            </w:hyperlink>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80" w:type="dxa"/>
            <w:vAlign w:val="bottom"/>
          </w:tcPr>
          <w:p>
            <w:pPr>
              <w:spacing w:after="0"/>
              <w:rPr>
                <w:sz w:val="20"/>
                <w:szCs w:val="20"/>
                <w:color w:val="auto"/>
              </w:rPr>
            </w:pPr>
          </w:p>
        </w:tc>
        <w:tc>
          <w:tcPr>
            <w:tcW w:w="4900" w:type="dxa"/>
            <w:vAlign w:val="bottom"/>
            <w:gridSpan w:val="3"/>
          </w:tcPr>
          <w:p>
            <w:pPr>
              <w:ind w:left="180"/>
              <w:spacing w:after="0"/>
              <w:rPr>
                <w:rFonts w:ascii="Arial" w:cs="Arial" w:eastAsia="Arial" w:hAnsi="Arial"/>
                <w:sz w:val="16"/>
                <w:szCs w:val="16"/>
                <w:color w:val="auto"/>
              </w:rPr>
            </w:pPr>
            <w:hyperlink w:anchor="page37">
              <w:r>
                <w:rPr>
                  <w:rFonts w:ascii="Arial" w:cs="Arial" w:eastAsia="Arial" w:hAnsi="Arial"/>
                  <w:sz w:val="16"/>
                  <w:szCs w:val="16"/>
                  <w:color w:val="auto"/>
                </w:rPr>
                <w:t>Fiscal 2021 Executive Officer Compensation Program Overview</w:t>
              </w:r>
            </w:hyperlink>
          </w:p>
        </w:tc>
        <w:tc>
          <w:tcPr>
            <w:tcW w:w="540" w:type="dxa"/>
            <w:vAlign w:val="bottom"/>
          </w:tcPr>
          <w:p>
            <w:pPr>
              <w:jc w:val="right"/>
              <w:ind w:right="140"/>
              <w:spacing w:after="0"/>
              <w:rPr>
                <w:rFonts w:ascii="Arial" w:cs="Arial" w:eastAsia="Arial" w:hAnsi="Arial"/>
                <w:sz w:val="16"/>
                <w:szCs w:val="16"/>
                <w:color w:val="auto"/>
              </w:rPr>
            </w:pPr>
            <w:hyperlink w:anchor="page37">
              <w:r>
                <w:rPr>
                  <w:rFonts w:ascii="Arial" w:cs="Arial" w:eastAsia="Arial" w:hAnsi="Arial"/>
                  <w:sz w:val="16"/>
                  <w:szCs w:val="16"/>
                  <w:color w:val="auto"/>
                </w:rPr>
                <w:t>34</w:t>
              </w:r>
            </w:hyperlink>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80" w:type="dxa"/>
            <w:vAlign w:val="bottom"/>
          </w:tcPr>
          <w:p>
            <w:pPr>
              <w:spacing w:after="0"/>
              <w:rPr>
                <w:sz w:val="20"/>
                <w:szCs w:val="20"/>
                <w:color w:val="auto"/>
              </w:rPr>
            </w:pPr>
          </w:p>
        </w:tc>
        <w:tc>
          <w:tcPr>
            <w:tcW w:w="4900" w:type="dxa"/>
            <w:vAlign w:val="bottom"/>
            <w:gridSpan w:val="3"/>
          </w:tcPr>
          <w:p>
            <w:pPr>
              <w:ind w:left="180"/>
              <w:spacing w:after="0"/>
              <w:rPr>
                <w:rFonts w:ascii="Arial" w:cs="Arial" w:eastAsia="Arial" w:hAnsi="Arial"/>
                <w:sz w:val="16"/>
                <w:szCs w:val="16"/>
                <w:color w:val="auto"/>
              </w:rPr>
            </w:pPr>
            <w:hyperlink w:anchor="page39">
              <w:r>
                <w:rPr>
                  <w:rFonts w:ascii="Arial" w:cs="Arial" w:eastAsia="Arial" w:hAnsi="Arial"/>
                  <w:sz w:val="16"/>
                  <w:szCs w:val="16"/>
                  <w:color w:val="auto"/>
                </w:rPr>
                <w:t>Fiscal 2021 Total Direct Compensation Components</w:t>
              </w:r>
            </w:hyperlink>
          </w:p>
        </w:tc>
        <w:tc>
          <w:tcPr>
            <w:tcW w:w="540" w:type="dxa"/>
            <w:vAlign w:val="bottom"/>
          </w:tcPr>
          <w:p>
            <w:pPr>
              <w:jc w:val="right"/>
              <w:ind w:right="140"/>
              <w:spacing w:after="0"/>
              <w:rPr>
                <w:rFonts w:ascii="Arial" w:cs="Arial" w:eastAsia="Arial" w:hAnsi="Arial"/>
                <w:sz w:val="16"/>
                <w:szCs w:val="16"/>
                <w:color w:val="auto"/>
              </w:rPr>
            </w:pPr>
            <w:hyperlink w:anchor="page39">
              <w:r>
                <w:rPr>
                  <w:rFonts w:ascii="Arial" w:cs="Arial" w:eastAsia="Arial" w:hAnsi="Arial"/>
                  <w:sz w:val="16"/>
                  <w:szCs w:val="16"/>
                  <w:color w:val="auto"/>
                </w:rPr>
                <w:t>36</w:t>
              </w:r>
            </w:hyperlink>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80" w:type="dxa"/>
            <w:vAlign w:val="bottom"/>
          </w:tcPr>
          <w:p>
            <w:pPr>
              <w:spacing w:after="0"/>
              <w:rPr>
                <w:sz w:val="20"/>
                <w:szCs w:val="20"/>
                <w:color w:val="auto"/>
              </w:rPr>
            </w:pPr>
          </w:p>
        </w:tc>
        <w:tc>
          <w:tcPr>
            <w:tcW w:w="4900" w:type="dxa"/>
            <w:vAlign w:val="bottom"/>
            <w:gridSpan w:val="3"/>
          </w:tcPr>
          <w:p>
            <w:pPr>
              <w:ind w:left="180"/>
              <w:spacing w:after="0"/>
              <w:rPr>
                <w:rFonts w:ascii="Arial" w:cs="Arial" w:eastAsia="Arial" w:hAnsi="Arial"/>
                <w:sz w:val="16"/>
                <w:szCs w:val="16"/>
                <w:color w:val="auto"/>
              </w:rPr>
            </w:pPr>
            <w:hyperlink w:anchor="page44">
              <w:r>
                <w:rPr>
                  <w:rFonts w:ascii="Arial" w:cs="Arial" w:eastAsia="Arial" w:hAnsi="Arial"/>
                  <w:sz w:val="16"/>
                  <w:szCs w:val="16"/>
                  <w:color w:val="auto"/>
                </w:rPr>
                <w:t>Employee Benefit Plans and Other Compensation</w:t>
              </w:r>
            </w:hyperlink>
          </w:p>
        </w:tc>
        <w:tc>
          <w:tcPr>
            <w:tcW w:w="540" w:type="dxa"/>
            <w:vAlign w:val="bottom"/>
          </w:tcPr>
          <w:p>
            <w:pPr>
              <w:jc w:val="right"/>
              <w:ind w:right="140"/>
              <w:spacing w:after="0"/>
              <w:rPr>
                <w:rFonts w:ascii="Arial" w:cs="Arial" w:eastAsia="Arial" w:hAnsi="Arial"/>
                <w:sz w:val="16"/>
                <w:szCs w:val="16"/>
                <w:color w:val="auto"/>
              </w:rPr>
            </w:pPr>
            <w:hyperlink w:anchor="page44">
              <w:r>
                <w:rPr>
                  <w:rFonts w:ascii="Arial" w:cs="Arial" w:eastAsia="Arial" w:hAnsi="Arial"/>
                  <w:sz w:val="16"/>
                  <w:szCs w:val="16"/>
                  <w:color w:val="auto"/>
                </w:rPr>
                <w:t>41</w:t>
              </w:r>
            </w:hyperlink>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80" w:type="dxa"/>
            <w:vAlign w:val="bottom"/>
          </w:tcPr>
          <w:p>
            <w:pPr>
              <w:spacing w:after="0"/>
              <w:rPr>
                <w:sz w:val="20"/>
                <w:szCs w:val="20"/>
                <w:color w:val="auto"/>
              </w:rPr>
            </w:pPr>
          </w:p>
        </w:tc>
        <w:tc>
          <w:tcPr>
            <w:tcW w:w="4900" w:type="dxa"/>
            <w:vAlign w:val="bottom"/>
            <w:gridSpan w:val="3"/>
          </w:tcPr>
          <w:p>
            <w:pPr>
              <w:ind w:left="180"/>
              <w:spacing w:after="0"/>
              <w:rPr>
                <w:rFonts w:ascii="Arial" w:cs="Arial" w:eastAsia="Arial" w:hAnsi="Arial"/>
                <w:sz w:val="16"/>
                <w:szCs w:val="16"/>
                <w:color w:val="auto"/>
              </w:rPr>
            </w:pPr>
            <w:hyperlink w:anchor="page45">
              <w:r>
                <w:rPr>
                  <w:rFonts w:ascii="Arial" w:cs="Arial" w:eastAsia="Arial" w:hAnsi="Arial"/>
                  <w:sz w:val="16"/>
                  <w:szCs w:val="16"/>
                  <w:color w:val="auto"/>
                </w:rPr>
                <w:t>Executive Compensation Decision-Making Process</w:t>
              </w:r>
            </w:hyperlink>
          </w:p>
        </w:tc>
        <w:tc>
          <w:tcPr>
            <w:tcW w:w="540" w:type="dxa"/>
            <w:vAlign w:val="bottom"/>
          </w:tcPr>
          <w:p>
            <w:pPr>
              <w:jc w:val="right"/>
              <w:ind w:right="140"/>
              <w:spacing w:after="0"/>
              <w:rPr>
                <w:rFonts w:ascii="Arial" w:cs="Arial" w:eastAsia="Arial" w:hAnsi="Arial"/>
                <w:sz w:val="16"/>
                <w:szCs w:val="16"/>
                <w:color w:val="auto"/>
              </w:rPr>
            </w:pPr>
            <w:hyperlink w:anchor="page45">
              <w:r>
                <w:rPr>
                  <w:rFonts w:ascii="Arial" w:cs="Arial" w:eastAsia="Arial" w:hAnsi="Arial"/>
                  <w:sz w:val="16"/>
                  <w:szCs w:val="16"/>
                  <w:color w:val="auto"/>
                </w:rPr>
                <w:t>42</w:t>
              </w:r>
            </w:hyperlink>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80" w:type="dxa"/>
            <w:vAlign w:val="bottom"/>
          </w:tcPr>
          <w:p>
            <w:pPr>
              <w:spacing w:after="0"/>
              <w:rPr>
                <w:sz w:val="20"/>
                <w:szCs w:val="20"/>
                <w:color w:val="auto"/>
              </w:rPr>
            </w:pPr>
          </w:p>
        </w:tc>
        <w:tc>
          <w:tcPr>
            <w:tcW w:w="4900" w:type="dxa"/>
            <w:vAlign w:val="bottom"/>
            <w:gridSpan w:val="3"/>
          </w:tcPr>
          <w:p>
            <w:pPr>
              <w:ind w:left="180"/>
              <w:spacing w:after="0"/>
              <w:rPr>
                <w:rFonts w:ascii="Arial" w:cs="Arial" w:eastAsia="Arial" w:hAnsi="Arial"/>
                <w:sz w:val="16"/>
                <w:szCs w:val="16"/>
                <w:color w:val="auto"/>
              </w:rPr>
            </w:pPr>
            <w:hyperlink w:anchor="page49">
              <w:r>
                <w:rPr>
                  <w:rFonts w:ascii="Arial" w:cs="Arial" w:eastAsia="Arial" w:hAnsi="Arial"/>
                  <w:sz w:val="16"/>
                  <w:szCs w:val="16"/>
                  <w:color w:val="auto"/>
                </w:rPr>
                <w:t>Key Compensation Practices and Policies</w:t>
              </w:r>
            </w:hyperlink>
          </w:p>
        </w:tc>
        <w:tc>
          <w:tcPr>
            <w:tcW w:w="540" w:type="dxa"/>
            <w:vAlign w:val="bottom"/>
          </w:tcPr>
          <w:p>
            <w:pPr>
              <w:jc w:val="right"/>
              <w:ind w:right="140"/>
              <w:spacing w:after="0"/>
              <w:rPr>
                <w:rFonts w:ascii="Arial" w:cs="Arial" w:eastAsia="Arial" w:hAnsi="Arial"/>
                <w:sz w:val="16"/>
                <w:szCs w:val="16"/>
                <w:color w:val="auto"/>
              </w:rPr>
            </w:pPr>
            <w:hyperlink w:anchor="page49">
              <w:r>
                <w:rPr>
                  <w:rFonts w:ascii="Arial" w:cs="Arial" w:eastAsia="Arial" w:hAnsi="Arial"/>
                  <w:sz w:val="16"/>
                  <w:szCs w:val="16"/>
                  <w:color w:val="auto"/>
                </w:rPr>
                <w:t>46</w:t>
              </w:r>
            </w:hyperlink>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80" w:type="dxa"/>
            <w:vAlign w:val="bottom"/>
          </w:tcPr>
          <w:p>
            <w:pPr>
              <w:spacing w:after="0"/>
              <w:rPr>
                <w:sz w:val="20"/>
                <w:szCs w:val="20"/>
                <w:color w:val="auto"/>
              </w:rPr>
            </w:pPr>
          </w:p>
        </w:tc>
        <w:tc>
          <w:tcPr>
            <w:tcW w:w="4900" w:type="dxa"/>
            <w:vAlign w:val="bottom"/>
            <w:gridSpan w:val="3"/>
          </w:tcPr>
          <w:p>
            <w:pPr>
              <w:spacing w:after="0"/>
              <w:rPr>
                <w:rFonts w:ascii="Arial" w:cs="Arial" w:eastAsia="Arial" w:hAnsi="Arial"/>
                <w:sz w:val="16"/>
                <w:szCs w:val="16"/>
                <w:color w:val="auto"/>
              </w:rPr>
            </w:pPr>
            <w:hyperlink w:anchor="page50">
              <w:r>
                <w:rPr>
                  <w:rFonts w:ascii="Arial" w:cs="Arial" w:eastAsia="Arial" w:hAnsi="Arial"/>
                  <w:sz w:val="16"/>
                  <w:szCs w:val="16"/>
                  <w:color w:val="auto"/>
                </w:rPr>
                <w:t>Executive Compensation Tables</w:t>
              </w:r>
            </w:hyperlink>
          </w:p>
        </w:tc>
        <w:tc>
          <w:tcPr>
            <w:tcW w:w="540" w:type="dxa"/>
            <w:vAlign w:val="bottom"/>
          </w:tcPr>
          <w:p>
            <w:pPr>
              <w:jc w:val="right"/>
              <w:ind w:right="140"/>
              <w:spacing w:after="0"/>
              <w:rPr>
                <w:rFonts w:ascii="Arial" w:cs="Arial" w:eastAsia="Arial" w:hAnsi="Arial"/>
                <w:sz w:val="16"/>
                <w:szCs w:val="16"/>
                <w:color w:val="auto"/>
              </w:rPr>
            </w:pPr>
            <w:hyperlink w:anchor="page50">
              <w:r>
                <w:rPr>
                  <w:rFonts w:ascii="Arial" w:cs="Arial" w:eastAsia="Arial" w:hAnsi="Arial"/>
                  <w:sz w:val="16"/>
                  <w:szCs w:val="16"/>
                  <w:color w:val="auto"/>
                </w:rPr>
                <w:t>47</w:t>
              </w:r>
            </w:hyperlink>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80" w:type="dxa"/>
            <w:vAlign w:val="bottom"/>
          </w:tcPr>
          <w:p>
            <w:pPr>
              <w:spacing w:after="0"/>
              <w:rPr>
                <w:sz w:val="20"/>
                <w:szCs w:val="20"/>
                <w:color w:val="auto"/>
              </w:rPr>
            </w:pPr>
          </w:p>
        </w:tc>
        <w:tc>
          <w:tcPr>
            <w:tcW w:w="4900" w:type="dxa"/>
            <w:vAlign w:val="bottom"/>
            <w:gridSpan w:val="3"/>
          </w:tcPr>
          <w:p>
            <w:pPr>
              <w:spacing w:after="0"/>
              <w:rPr>
                <w:rFonts w:ascii="Arial" w:cs="Arial" w:eastAsia="Arial" w:hAnsi="Arial"/>
                <w:sz w:val="16"/>
                <w:szCs w:val="16"/>
                <w:color w:val="auto"/>
              </w:rPr>
            </w:pPr>
            <w:hyperlink w:anchor="page57">
              <w:r>
                <w:rPr>
                  <w:rFonts w:ascii="Arial" w:cs="Arial" w:eastAsia="Arial" w:hAnsi="Arial"/>
                  <w:sz w:val="16"/>
                  <w:szCs w:val="16"/>
                  <w:color w:val="auto"/>
                </w:rPr>
                <w:t>Potential Payments Upon Termination</w:t>
              </w:r>
            </w:hyperlink>
          </w:p>
        </w:tc>
        <w:tc>
          <w:tcPr>
            <w:tcW w:w="540" w:type="dxa"/>
            <w:vAlign w:val="bottom"/>
          </w:tcPr>
          <w:p>
            <w:pPr>
              <w:jc w:val="right"/>
              <w:ind w:right="140"/>
              <w:spacing w:after="0"/>
              <w:rPr>
                <w:rFonts w:ascii="Arial" w:cs="Arial" w:eastAsia="Arial" w:hAnsi="Arial"/>
                <w:sz w:val="16"/>
                <w:szCs w:val="16"/>
                <w:color w:val="auto"/>
              </w:rPr>
            </w:pPr>
            <w:hyperlink w:anchor="page57">
              <w:r>
                <w:rPr>
                  <w:rFonts w:ascii="Arial" w:cs="Arial" w:eastAsia="Arial" w:hAnsi="Arial"/>
                  <w:sz w:val="16"/>
                  <w:szCs w:val="16"/>
                  <w:color w:val="auto"/>
                </w:rPr>
                <w:t>54</w:t>
              </w:r>
            </w:hyperlink>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80" w:type="dxa"/>
            <w:vAlign w:val="bottom"/>
          </w:tcPr>
          <w:p>
            <w:pPr>
              <w:spacing w:after="0"/>
              <w:rPr>
                <w:sz w:val="20"/>
                <w:szCs w:val="20"/>
                <w:color w:val="auto"/>
              </w:rPr>
            </w:pPr>
          </w:p>
        </w:tc>
        <w:tc>
          <w:tcPr>
            <w:tcW w:w="1180" w:type="dxa"/>
            <w:vAlign w:val="bottom"/>
            <w:gridSpan w:val="2"/>
          </w:tcPr>
          <w:p>
            <w:pPr>
              <w:spacing w:after="0"/>
              <w:rPr>
                <w:rFonts w:ascii="Arial" w:cs="Arial" w:eastAsia="Arial" w:hAnsi="Arial"/>
                <w:sz w:val="16"/>
                <w:szCs w:val="16"/>
                <w:color w:val="auto"/>
              </w:rPr>
            </w:pPr>
            <w:hyperlink w:anchor="page63">
              <w:r>
                <w:rPr>
                  <w:rFonts w:ascii="Arial" w:cs="Arial" w:eastAsia="Arial" w:hAnsi="Arial"/>
                  <w:sz w:val="16"/>
                  <w:szCs w:val="16"/>
                  <w:color w:val="auto"/>
                </w:rPr>
                <w:t>CEO Pay Ratio</w:t>
              </w:r>
            </w:hyperlink>
          </w:p>
        </w:tc>
        <w:tc>
          <w:tcPr>
            <w:tcW w:w="3720" w:type="dxa"/>
            <w:vAlign w:val="bottom"/>
          </w:tcPr>
          <w:p>
            <w:pPr>
              <w:spacing w:after="0"/>
              <w:rPr>
                <w:sz w:val="20"/>
                <w:szCs w:val="20"/>
                <w:color w:val="auto"/>
              </w:rPr>
            </w:pPr>
          </w:p>
        </w:tc>
        <w:tc>
          <w:tcPr>
            <w:tcW w:w="540" w:type="dxa"/>
            <w:vAlign w:val="bottom"/>
          </w:tcPr>
          <w:p>
            <w:pPr>
              <w:jc w:val="right"/>
              <w:ind w:right="140"/>
              <w:spacing w:after="0"/>
              <w:rPr>
                <w:rFonts w:ascii="Arial" w:cs="Arial" w:eastAsia="Arial" w:hAnsi="Arial"/>
                <w:sz w:val="16"/>
                <w:szCs w:val="16"/>
                <w:color w:val="auto"/>
              </w:rPr>
            </w:pPr>
            <w:hyperlink w:anchor="page63">
              <w:r>
                <w:rPr>
                  <w:rFonts w:ascii="Arial" w:cs="Arial" w:eastAsia="Arial" w:hAnsi="Arial"/>
                  <w:sz w:val="16"/>
                  <w:szCs w:val="16"/>
                  <w:color w:val="auto"/>
                </w:rPr>
                <w:t>60</w:t>
              </w:r>
            </w:hyperlink>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383540</wp:posOffset>
            </wp:positionV>
            <wp:extent cx="7134225" cy="10058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1005840"/>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-3258820</wp:posOffset>
            </wp:positionV>
            <wp:extent cx="135255" cy="143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5255" cy="143510"/>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-2100580</wp:posOffset>
            </wp:positionV>
            <wp:extent cx="135255" cy="143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5255" cy="143510"/>
                    </a:xfrm>
                    <a:prstGeom prst="rect">
                      <a:avLst/>
                    </a:prstGeom>
                    <a:noFill/>
                  </pic:spPr>
                </pic:pic>
              </a:graphicData>
            </a:graphic>
          </wp:anchor>
        </w:drawing>
        <w:drawing>
          <wp:anchor simplePos="0" relativeHeight="251657728" behindDoc="1" locked="0" layoutInCell="0" allowOverlap="1">
            <wp:simplePos x="0" y="0"/>
            <wp:positionH relativeFrom="column">
              <wp:posOffset>7003415</wp:posOffset>
            </wp:positionH>
            <wp:positionV relativeFrom="paragraph">
              <wp:posOffset>-4272915</wp:posOffset>
            </wp:positionV>
            <wp:extent cx="135255" cy="143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5255" cy="14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40"/>
        <w:spacing w:after="0"/>
        <w:rPr>
          <w:sz w:val="20"/>
          <w:szCs w:val="20"/>
          <w:color w:val="auto"/>
        </w:rPr>
      </w:pPr>
      <w:r>
        <w:rPr>
          <w:rFonts w:ascii="Arial" w:cs="Arial" w:eastAsia="Arial" w:hAnsi="Arial"/>
          <w:sz w:val="23"/>
          <w:szCs w:val="23"/>
          <w:color w:val="auto"/>
        </w:rPr>
        <w:t>Proxy Statement</w:t>
      </w:r>
    </w:p>
    <w:p>
      <w:pPr>
        <w:spacing w:after="0" w:line="119" w:lineRule="exact"/>
        <w:rPr>
          <w:sz w:val="20"/>
          <w:szCs w:val="20"/>
          <w:color w:val="auto"/>
        </w:rPr>
      </w:pPr>
    </w:p>
    <w:p>
      <w:pPr>
        <w:jc w:val="both"/>
        <w:ind w:left="140" w:right="160"/>
        <w:spacing w:after="0" w:line="243" w:lineRule="auto"/>
        <w:rPr>
          <w:sz w:val="20"/>
          <w:szCs w:val="20"/>
          <w:color w:val="auto"/>
        </w:rPr>
      </w:pPr>
      <w:r>
        <w:rPr>
          <w:rFonts w:ascii="Arial" w:cs="Arial" w:eastAsia="Arial" w:hAnsi="Arial"/>
          <w:sz w:val="16"/>
          <w:szCs w:val="16"/>
          <w:color w:val="auto"/>
        </w:rPr>
        <w:t>We have provided you this Notice of Annual Meeting and proxy statement because the Board of Directors (the “Board”) of Air Products and Chemicals, Inc. (the “Company” or “Air Products”) is soliciting your proxy to vote at the Company’s 2022 Annual Meeting of Shareholders on February 3, 2022 (the “Annual Meeting”). This proxy statement contains information about the items to be voted on at the Annual Meeting and information about the Company.</w:t>
      </w:r>
    </w:p>
    <w:p>
      <w:pPr>
        <w:jc w:val="both"/>
        <w:ind w:left="140" w:right="140"/>
        <w:spacing w:after="0" w:line="254" w:lineRule="auto"/>
        <w:rPr>
          <w:sz w:val="20"/>
          <w:szCs w:val="20"/>
          <w:color w:val="auto"/>
        </w:rPr>
      </w:pPr>
      <w:r>
        <w:rPr>
          <w:rFonts w:ascii="Arial" w:cs="Arial" w:eastAsia="Arial" w:hAnsi="Arial"/>
          <w:sz w:val="16"/>
          <w:szCs w:val="16"/>
          <w:color w:val="auto"/>
        </w:rPr>
        <w:t>Instructions on how to access this proxy statement and our 2021 Annual Report to Shareholders on the Internet or paper copies of the proxy statement and Annual Report are first being sent to shareholders on or about December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15518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134225" cy="13271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32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
        <w:spacing w:after="0"/>
        <w:rPr>
          <w:sz w:val="20"/>
          <w:szCs w:val="20"/>
          <w:color w:val="auto"/>
        </w:rPr>
      </w:pPr>
      <w:r>
        <w:rPr>
          <w:rFonts w:ascii="Arial" w:cs="Arial" w:eastAsia="Arial" w:hAnsi="Arial"/>
          <w:sz w:val="44"/>
          <w:szCs w:val="44"/>
          <w:b w:val="1"/>
          <w:bCs w:val="1"/>
          <w:color w:val="009A4B"/>
        </w:rPr>
        <w:t>Message to Our Shareholders</w:t>
      </w:r>
    </w:p>
    <w:p>
      <w:pPr>
        <w:sectPr>
          <w:pgSz w:w="11900" w:h="16838" w:orient="portrait"/>
          <w:cols w:equalWidth="0" w:num="1">
            <w:col w:w="11240"/>
          </w:cols>
          <w:pgMar w:left="320" w:top="140" w:right="339" w:bottom="1077" w:gutter="0" w:footer="0" w:header="0"/>
        </w:sect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December 15, 2021</w:t>
      </w:r>
    </w:p>
    <w:p>
      <w:pPr>
        <w:spacing w:after="0" w:line="209" w:lineRule="exact"/>
        <w:rPr>
          <w:sz w:val="20"/>
          <w:szCs w:val="20"/>
          <w:color w:val="auto"/>
        </w:rPr>
      </w:pPr>
    </w:p>
    <w:p>
      <w:pPr>
        <w:spacing w:after="0"/>
        <w:rPr>
          <w:sz w:val="20"/>
          <w:szCs w:val="20"/>
          <w:color w:val="auto"/>
        </w:rPr>
      </w:pPr>
      <w:r>
        <w:rPr>
          <w:rFonts w:ascii="Arial" w:cs="Arial" w:eastAsia="Arial" w:hAnsi="Arial"/>
          <w:sz w:val="28"/>
          <w:szCs w:val="28"/>
          <w:color w:val="00A4E4"/>
        </w:rPr>
        <w:t>Dear Fellow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3567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On behalf of the Board of Directors, I am pleased to invite you to attend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2022 Annual Meeting of Shareholders of Air Products and Chemicals, Inc.</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to be held on Thursday, February 3, 2022 at 2:00 p.m. (Eastern Time). This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year’s Annual Meeting will be held in a virtual format through a live audio</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webcast, which can be accessed at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i w:val="1"/>
          <w:iCs w:val="1"/>
          <w:color w:val="009A4B"/>
        </w:rPr>
        <w:t>www.virtualshareholdermeeting.com/APD2022</w:t>
      </w:r>
      <w:r>
        <w:rPr>
          <w:rFonts w:ascii="Arial" w:cs="Arial" w:eastAsia="Arial" w:hAnsi="Arial"/>
          <w:sz w:val="16"/>
          <w:szCs w:val="16"/>
          <w:color w:val="000000"/>
        </w:rPr>
        <w:t>. Shareholders participating</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in the meeting will have the ability to submit questions during the live audio</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webcast.</w:t>
      </w:r>
    </w:p>
    <w:p>
      <w:pPr>
        <w:spacing w:after="0" w:line="162" w:lineRule="exact"/>
        <w:rPr>
          <w:sz w:val="20"/>
          <w:szCs w:val="20"/>
          <w:color w:val="auto"/>
        </w:rPr>
      </w:pPr>
    </w:p>
    <w:p>
      <w:pPr>
        <w:ind w:right="280"/>
        <w:spacing w:after="0" w:line="244" w:lineRule="auto"/>
        <w:rPr>
          <w:sz w:val="20"/>
          <w:szCs w:val="20"/>
          <w:color w:val="auto"/>
        </w:rPr>
      </w:pPr>
      <w:r>
        <w:rPr>
          <w:rFonts w:ascii="Arial" w:cs="Arial" w:eastAsia="Arial" w:hAnsi="Arial"/>
          <w:sz w:val="16"/>
          <w:szCs w:val="16"/>
          <w:color w:val="auto"/>
        </w:rPr>
        <w:t>Attached you will find the Notice of Annual Meeting and proxy statement that contain additional information, including the items of business and methods you can use to vote your proxy. Your vote is very important. I encourage you to sign and return your proxy card or use Internet, mobile device or telephone voting prior to the meeting so that your shares of common stock will be represented and voted at the meeting even if you cannot attend.</w:t>
      </w:r>
    </w:p>
    <w:p>
      <w:pPr>
        <w:spacing w:after="0" w:line="155" w:lineRule="exact"/>
        <w:rPr>
          <w:sz w:val="20"/>
          <w:szCs w:val="20"/>
          <w:color w:val="auto"/>
        </w:rPr>
      </w:pPr>
    </w:p>
    <w:p>
      <w:pPr>
        <w:ind w:right="120"/>
        <w:spacing w:after="0" w:line="245" w:lineRule="auto"/>
        <w:rPr>
          <w:sz w:val="20"/>
          <w:szCs w:val="20"/>
          <w:color w:val="auto"/>
        </w:rPr>
      </w:pPr>
      <w:r>
        <w:rPr>
          <w:rFonts w:ascii="Arial" w:cs="Arial" w:eastAsia="Arial" w:hAnsi="Arial"/>
          <w:sz w:val="16"/>
          <w:szCs w:val="16"/>
          <w:color w:val="auto"/>
        </w:rPr>
        <w:t>We continue to demonstrate our higher purpose at Air Products – bringing people together to collaborate and innovate solutions to pressing energy and environmental challenges. This continues to drive sustainable growth opportunities that deliver value to our shareholders, customers, employees and communities around the world.</w:t>
      </w:r>
    </w:p>
    <w:p>
      <w:pPr>
        <w:spacing w:after="0" w:line="152" w:lineRule="exact"/>
        <w:rPr>
          <w:sz w:val="20"/>
          <w:szCs w:val="20"/>
          <w:color w:val="auto"/>
        </w:rPr>
      </w:pPr>
    </w:p>
    <w:p>
      <w:pPr>
        <w:ind w:right="120"/>
        <w:spacing w:after="0" w:line="257" w:lineRule="auto"/>
        <w:rPr>
          <w:sz w:val="20"/>
          <w:szCs w:val="20"/>
          <w:color w:val="auto"/>
        </w:rPr>
      </w:pPr>
      <w:r>
        <w:rPr>
          <w:rFonts w:ascii="Arial" w:cs="Arial" w:eastAsia="Arial" w:hAnsi="Arial"/>
          <w:sz w:val="15"/>
          <w:szCs w:val="15"/>
          <w:color w:val="auto"/>
        </w:rPr>
        <w:t>Thanks to the hard work of our more than 20,000 people around the globe, Air Products achieved strong financial performance in 2021 and increased</w:t>
      </w:r>
    </w:p>
    <w:p>
      <w:pPr>
        <w:spacing w:after="0" w:line="1" w:lineRule="exact"/>
        <w:rPr>
          <w:sz w:val="20"/>
          <w:szCs w:val="20"/>
          <w:color w:val="auto"/>
        </w:rPr>
      </w:pPr>
    </w:p>
    <w:p>
      <w:pPr>
        <w:ind w:right="60"/>
        <w:spacing w:after="0" w:line="229" w:lineRule="auto"/>
        <w:rPr>
          <w:sz w:val="20"/>
          <w:szCs w:val="20"/>
          <w:color w:val="auto"/>
        </w:rPr>
      </w:pPr>
      <w:r>
        <w:rPr>
          <w:rFonts w:ascii="Arial" w:cs="Arial" w:eastAsia="Arial" w:hAnsi="Arial"/>
          <w:sz w:val="16"/>
          <w:szCs w:val="16"/>
          <w:color w:val="auto"/>
        </w:rPr>
        <w:t>its quarterly dividend for the 39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consecutive year. The committed, dedicated and motivated team at Air Products proved once again that they can deliver excellent results despite challenges posed by external factors. I am proud of how our team is developing and executing projects that will increase our and our customers’ sustainability and drive profitable growth in the future.</w:t>
      </w:r>
    </w:p>
    <w:p>
      <w:pPr>
        <w:spacing w:after="0" w:line="157"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Air Products is at the forefront of the global energy transition. In line with our strategic Five-Point Plan, our industrial gases and technologies help our customers improve their sustainability performance, and we are pleased to support their continuous improvement journey. Meanwhile, our large-scale projects are designed to address urgent energy and environmental needs through large-scale gasification, carbon capture and hydrogen solutions. We are making significant investments around the world – projects that will provide real solutions towards a cleaner future.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60"/>
        <w:spacing w:after="0" w:line="210" w:lineRule="auto"/>
        <w:rPr>
          <w:sz w:val="20"/>
          <w:szCs w:val="20"/>
          <w:color w:val="auto"/>
        </w:rPr>
      </w:pPr>
      <w:r>
        <w:rPr>
          <w:rFonts w:ascii="Arial" w:cs="Arial" w:eastAsia="Arial" w:hAnsi="Arial"/>
          <w:sz w:val="16"/>
          <w:szCs w:val="16"/>
          <w:color w:val="auto"/>
        </w:rPr>
        <w:t>For example, in fiscal 2021 we announced a $1.3 billion (Canadian) landmark net-zero hydrogen energy complex in Alberta, Canada, producing hydrogen and capturing carbon dioxide (CO</w:t>
      </w:r>
      <w:r>
        <w:rPr>
          <w:rFonts w:ascii="Arial" w:cs="Arial" w:eastAsia="Arial" w:hAnsi="Arial"/>
          <w:sz w:val="26"/>
          <w:szCs w:val="26"/>
          <w:color w:val="auto"/>
          <w:vertAlign w:val="subscript"/>
        </w:rPr>
        <w:t>2</w:t>
      </w:r>
      <w:r>
        <w:rPr>
          <w:rFonts w:ascii="Arial" w:cs="Arial" w:eastAsia="Arial" w:hAnsi="Arial"/>
          <w:sz w:val="16"/>
          <w:szCs w:val="16"/>
          <w:color w:val="auto"/>
        </w:rPr>
        <w:t>). The Alberta facility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-447040</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-111125</wp:posOffset>
            </wp:positionH>
            <wp:positionV relativeFrom="paragraph">
              <wp:posOffset>-447040</wp:posOffset>
            </wp:positionV>
            <wp:extent cx="8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-93980</wp:posOffset>
            </wp:positionH>
            <wp:positionV relativeFrom="paragraph">
              <wp:posOffset>-447040</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-447040</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-447040</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-447040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-447040</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-447040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-447040</wp:posOffset>
            </wp:positionV>
            <wp:extent cx="8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-447040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-447040</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57150</wp:posOffset>
            </wp:positionH>
            <wp:positionV relativeFrom="paragraph">
              <wp:posOffset>-447040</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-447040</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-447040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-447040</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-447040</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-447040</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-447040</wp:posOffset>
            </wp:positionV>
            <wp:extent cx="8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-447040</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-447040</wp:posOffset>
            </wp:positionV>
            <wp:extent cx="8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209550</wp:posOffset>
            </wp:positionH>
            <wp:positionV relativeFrom="paragraph">
              <wp:posOffset>-447040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-447040</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-447040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260350</wp:posOffset>
            </wp:positionH>
            <wp:positionV relativeFrom="paragraph">
              <wp:posOffset>-447040</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-447040</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294005</wp:posOffset>
            </wp:positionH>
            <wp:positionV relativeFrom="paragraph">
              <wp:posOffset>-447040</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-447040</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-447040</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-447040</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-447040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378460</wp:posOffset>
            </wp:positionH>
            <wp:positionV relativeFrom="paragraph">
              <wp:posOffset>-447040</wp:posOffset>
            </wp:positionV>
            <wp:extent cx="8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395605</wp:posOffset>
            </wp:positionH>
            <wp:positionV relativeFrom="paragraph">
              <wp:posOffset>-447040</wp:posOffset>
            </wp:positionV>
            <wp:extent cx="8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412115</wp:posOffset>
            </wp:positionH>
            <wp:positionV relativeFrom="paragraph">
              <wp:posOffset>-447040</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429260</wp:posOffset>
            </wp:positionH>
            <wp:positionV relativeFrom="paragraph">
              <wp:posOffset>-447040</wp:posOffset>
            </wp:positionV>
            <wp:extent cx="8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446405</wp:posOffset>
            </wp:positionH>
            <wp:positionV relativeFrom="paragraph">
              <wp:posOffset>-447040</wp:posOffset>
            </wp:positionV>
            <wp:extent cx="8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462915</wp:posOffset>
            </wp:positionH>
            <wp:positionV relativeFrom="paragraph">
              <wp:posOffset>-447040</wp:posOffset>
            </wp:positionV>
            <wp:extent cx="8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-447040</wp:posOffset>
            </wp:positionV>
            <wp:extent cx="8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496570</wp:posOffset>
            </wp:positionH>
            <wp:positionV relativeFrom="paragraph">
              <wp:posOffset>-447040</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-447040</wp:posOffset>
            </wp:positionV>
            <wp:extent cx="8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530860</wp:posOffset>
            </wp:positionH>
            <wp:positionV relativeFrom="paragraph">
              <wp:posOffset>-447040</wp:posOffset>
            </wp:positionV>
            <wp:extent cx="8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547370</wp:posOffset>
            </wp:positionH>
            <wp:positionV relativeFrom="paragraph">
              <wp:posOffset>-447040</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564515</wp:posOffset>
            </wp:positionH>
            <wp:positionV relativeFrom="paragraph">
              <wp:posOffset>-447040</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581025</wp:posOffset>
            </wp:positionH>
            <wp:positionV relativeFrom="paragraph">
              <wp:posOffset>-447040</wp:posOffset>
            </wp:positionV>
            <wp:extent cx="8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598170</wp:posOffset>
            </wp:positionH>
            <wp:positionV relativeFrom="paragraph">
              <wp:posOffset>-447040</wp:posOffset>
            </wp:positionV>
            <wp:extent cx="8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615315</wp:posOffset>
            </wp:positionH>
            <wp:positionV relativeFrom="paragraph">
              <wp:posOffset>-447040</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631825</wp:posOffset>
            </wp:positionH>
            <wp:positionV relativeFrom="paragraph">
              <wp:posOffset>-447040</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-447040</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666115</wp:posOffset>
            </wp:positionH>
            <wp:positionV relativeFrom="paragraph">
              <wp:posOffset>-447040</wp:posOffset>
            </wp:positionV>
            <wp:extent cx="8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-447040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-447040</wp:posOffset>
            </wp:positionV>
            <wp:extent cx="8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-447040</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-447040</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-447040</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767080</wp:posOffset>
            </wp:positionH>
            <wp:positionV relativeFrom="paragraph">
              <wp:posOffset>-447040</wp:posOffset>
            </wp:positionV>
            <wp:extent cx="8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784225</wp:posOffset>
            </wp:positionH>
            <wp:positionV relativeFrom="paragraph">
              <wp:posOffset>-447040</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801370</wp:posOffset>
            </wp:positionH>
            <wp:positionV relativeFrom="paragraph">
              <wp:posOffset>-447040</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-447040</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835025</wp:posOffset>
            </wp:positionH>
            <wp:positionV relativeFrom="paragraph">
              <wp:posOffset>-447040</wp:posOffset>
            </wp:positionV>
            <wp:extent cx="8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851535</wp:posOffset>
            </wp:positionH>
            <wp:positionV relativeFrom="paragraph">
              <wp:posOffset>-447040</wp:posOffset>
            </wp:positionV>
            <wp:extent cx="82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868680</wp:posOffset>
            </wp:positionH>
            <wp:positionV relativeFrom="paragraph">
              <wp:posOffset>-447040</wp:posOffset>
            </wp:positionV>
            <wp:extent cx="82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-447040</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902335</wp:posOffset>
            </wp:positionH>
            <wp:positionV relativeFrom="paragraph">
              <wp:posOffset>-447040</wp:posOffset>
            </wp:positionV>
            <wp:extent cx="82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919480</wp:posOffset>
            </wp:positionH>
            <wp:positionV relativeFrom="paragraph">
              <wp:posOffset>-447040</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936625</wp:posOffset>
            </wp:positionH>
            <wp:positionV relativeFrom="paragraph">
              <wp:posOffset>-447040</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953135</wp:posOffset>
            </wp:positionH>
            <wp:positionV relativeFrom="paragraph">
              <wp:posOffset>-447040</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970280</wp:posOffset>
            </wp:positionH>
            <wp:positionV relativeFrom="paragraph">
              <wp:posOffset>-447040</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986790</wp:posOffset>
            </wp:positionH>
            <wp:positionV relativeFrom="paragraph">
              <wp:posOffset>-447040</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1003935</wp:posOffset>
            </wp:positionH>
            <wp:positionV relativeFrom="paragraph">
              <wp:posOffset>-447040</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1021080</wp:posOffset>
            </wp:positionH>
            <wp:positionV relativeFrom="paragraph">
              <wp:posOffset>-447040</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1037590</wp:posOffset>
            </wp:positionH>
            <wp:positionV relativeFrom="paragraph">
              <wp:posOffset>-447040</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1054735</wp:posOffset>
            </wp:positionH>
            <wp:positionV relativeFrom="paragraph">
              <wp:posOffset>-447040</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1071880</wp:posOffset>
            </wp:positionH>
            <wp:positionV relativeFrom="paragraph">
              <wp:posOffset>-447040</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1088390</wp:posOffset>
            </wp:positionH>
            <wp:positionV relativeFrom="paragraph">
              <wp:posOffset>-447040</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1105535</wp:posOffset>
            </wp:positionH>
            <wp:positionV relativeFrom="paragraph">
              <wp:posOffset>-447040</wp:posOffset>
            </wp:positionV>
            <wp:extent cx="8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1122045</wp:posOffset>
            </wp:positionH>
            <wp:positionV relativeFrom="paragraph">
              <wp:posOffset>-447040</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1139190</wp:posOffset>
            </wp:positionH>
            <wp:positionV relativeFrom="paragraph">
              <wp:posOffset>-447040</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-447040</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1172845</wp:posOffset>
            </wp:positionH>
            <wp:positionV relativeFrom="paragraph">
              <wp:posOffset>-447040</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1189990</wp:posOffset>
            </wp:positionH>
            <wp:positionV relativeFrom="paragraph">
              <wp:posOffset>-447040</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1207135</wp:posOffset>
            </wp:positionH>
            <wp:positionV relativeFrom="paragraph">
              <wp:posOffset>-447040</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1223645</wp:posOffset>
            </wp:positionH>
            <wp:positionV relativeFrom="paragraph">
              <wp:posOffset>-447040</wp:posOffset>
            </wp:positionV>
            <wp:extent cx="8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1240790</wp:posOffset>
            </wp:positionH>
            <wp:positionV relativeFrom="paragraph">
              <wp:posOffset>-447040</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-447040</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-447040</wp:posOffset>
            </wp:positionV>
            <wp:extent cx="8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-447040</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-447040</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-447040</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-447040</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-447040</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-447040</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1392555</wp:posOffset>
            </wp:positionH>
            <wp:positionV relativeFrom="paragraph">
              <wp:posOffset>-447040</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1409700</wp:posOffset>
            </wp:positionH>
            <wp:positionV relativeFrom="paragraph">
              <wp:posOffset>-447040</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1426845</wp:posOffset>
            </wp:positionH>
            <wp:positionV relativeFrom="paragraph">
              <wp:posOffset>-447040</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1443355</wp:posOffset>
            </wp:positionH>
            <wp:positionV relativeFrom="paragraph">
              <wp:posOffset>-447040</wp:posOffset>
            </wp:positionV>
            <wp:extent cx="8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1460500</wp:posOffset>
            </wp:positionH>
            <wp:positionV relativeFrom="paragraph">
              <wp:posOffset>-447040</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1477645</wp:posOffset>
            </wp:positionH>
            <wp:positionV relativeFrom="paragraph">
              <wp:posOffset>-447040</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1494155</wp:posOffset>
            </wp:positionH>
            <wp:positionV relativeFrom="paragraph">
              <wp:posOffset>-447040</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1511300</wp:posOffset>
            </wp:positionH>
            <wp:positionV relativeFrom="paragraph">
              <wp:posOffset>-447040</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1527810</wp:posOffset>
            </wp:positionH>
            <wp:positionV relativeFrom="paragraph">
              <wp:posOffset>-447040</wp:posOffset>
            </wp:positionV>
            <wp:extent cx="8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1544955</wp:posOffset>
            </wp:positionH>
            <wp:positionV relativeFrom="paragraph">
              <wp:posOffset>-447040</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-447040</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1578610</wp:posOffset>
            </wp:positionH>
            <wp:positionV relativeFrom="paragraph">
              <wp:posOffset>-447040</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1595755</wp:posOffset>
            </wp:positionH>
            <wp:positionV relativeFrom="paragraph">
              <wp:posOffset>-447040</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1612900</wp:posOffset>
            </wp:positionH>
            <wp:positionV relativeFrom="paragraph">
              <wp:posOffset>-447040</wp:posOffset>
            </wp:positionV>
            <wp:extent cx="8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1629410</wp:posOffset>
            </wp:positionH>
            <wp:positionV relativeFrom="paragraph">
              <wp:posOffset>-447040</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1646555</wp:posOffset>
            </wp:positionH>
            <wp:positionV relativeFrom="paragraph">
              <wp:posOffset>-447040</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1663065</wp:posOffset>
            </wp:positionH>
            <wp:positionV relativeFrom="paragraph">
              <wp:posOffset>-447040</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1680210</wp:posOffset>
            </wp:positionH>
            <wp:positionV relativeFrom="paragraph">
              <wp:posOffset>-447040</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1697355</wp:posOffset>
            </wp:positionH>
            <wp:positionV relativeFrom="paragraph">
              <wp:posOffset>-447040</wp:posOffset>
            </wp:positionV>
            <wp:extent cx="8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1713865</wp:posOffset>
            </wp:positionH>
            <wp:positionV relativeFrom="paragraph">
              <wp:posOffset>-447040</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1731010</wp:posOffset>
            </wp:positionH>
            <wp:positionV relativeFrom="paragraph">
              <wp:posOffset>-447040</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1747520</wp:posOffset>
            </wp:positionH>
            <wp:positionV relativeFrom="paragraph">
              <wp:posOffset>-447040</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1764665</wp:posOffset>
            </wp:positionH>
            <wp:positionV relativeFrom="paragraph">
              <wp:posOffset>-447040</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1781810</wp:posOffset>
            </wp:positionH>
            <wp:positionV relativeFrom="paragraph">
              <wp:posOffset>-447040</wp:posOffset>
            </wp:positionV>
            <wp:extent cx="8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1798320</wp:posOffset>
            </wp:positionH>
            <wp:positionV relativeFrom="paragraph">
              <wp:posOffset>-447040</wp:posOffset>
            </wp:positionV>
            <wp:extent cx="8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1815465</wp:posOffset>
            </wp:positionH>
            <wp:positionV relativeFrom="paragraph">
              <wp:posOffset>-447040</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1832610</wp:posOffset>
            </wp:positionH>
            <wp:positionV relativeFrom="paragraph">
              <wp:posOffset>-447040</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-447040</wp:posOffset>
            </wp:positionV>
            <wp:extent cx="8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-447040</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-447040</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-447040</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-447040</wp:posOffset>
            </wp:positionV>
            <wp:extent cx="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-447040</wp:posOffset>
            </wp:positionV>
            <wp:extent cx="82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-447040</wp:posOffset>
            </wp:positionV>
            <wp:extent cx="8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-447040</wp:posOffset>
            </wp:positionV>
            <wp:extent cx="82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-447040</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-447040</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-447040</wp:posOffset>
            </wp:positionV>
            <wp:extent cx="8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2035175</wp:posOffset>
            </wp:positionH>
            <wp:positionV relativeFrom="paragraph">
              <wp:posOffset>-447040</wp:posOffset>
            </wp:positionV>
            <wp:extent cx="8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2052320</wp:posOffset>
            </wp:positionH>
            <wp:positionV relativeFrom="paragraph">
              <wp:posOffset>-447040</wp:posOffset>
            </wp:positionV>
            <wp:extent cx="8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2068830</wp:posOffset>
            </wp:positionH>
            <wp:positionV relativeFrom="paragraph">
              <wp:posOffset>-447040</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2085975</wp:posOffset>
            </wp:positionH>
            <wp:positionV relativeFrom="paragraph">
              <wp:posOffset>-447040</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2103120</wp:posOffset>
            </wp:positionH>
            <wp:positionV relativeFrom="paragraph">
              <wp:posOffset>-447040</wp:posOffset>
            </wp:positionV>
            <wp:extent cx="8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-447040</wp:posOffset>
            </wp:positionV>
            <wp:extent cx="8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2136775</wp:posOffset>
            </wp:positionH>
            <wp:positionV relativeFrom="paragraph">
              <wp:posOffset>-447040</wp:posOffset>
            </wp:positionV>
            <wp:extent cx="8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-447040</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-447040</wp:posOffset>
            </wp:positionV>
            <wp:extent cx="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-447040</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-447040</wp:posOffset>
            </wp:positionV>
            <wp:extent cx="8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2221230</wp:posOffset>
            </wp:positionH>
            <wp:positionV relativeFrom="paragraph">
              <wp:posOffset>-447040</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2238375</wp:posOffset>
            </wp:positionH>
            <wp:positionV relativeFrom="paragraph">
              <wp:posOffset>-447040</wp:posOffset>
            </wp:positionV>
            <wp:extent cx="8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-447040</wp:posOffset>
            </wp:positionV>
            <wp:extent cx="8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2272030</wp:posOffset>
            </wp:positionH>
            <wp:positionV relativeFrom="paragraph">
              <wp:posOffset>-447040</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2288540</wp:posOffset>
            </wp:positionH>
            <wp:positionV relativeFrom="paragraph">
              <wp:posOffset>-447040</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-447040</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-447040</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2339340</wp:posOffset>
            </wp:positionH>
            <wp:positionV relativeFrom="paragraph">
              <wp:posOffset>-447040</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-447040</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2373630</wp:posOffset>
            </wp:positionH>
            <wp:positionV relativeFrom="paragraph">
              <wp:posOffset>-447040</wp:posOffset>
            </wp:positionV>
            <wp:extent cx="8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2390140</wp:posOffset>
            </wp:positionH>
            <wp:positionV relativeFrom="paragraph">
              <wp:posOffset>-447040</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-447040</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-447040</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-447040</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-447040</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-447040</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2491740</wp:posOffset>
            </wp:positionH>
            <wp:positionV relativeFrom="paragraph">
              <wp:posOffset>-447040</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-447040</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-447040</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-447040</wp:posOffset>
            </wp:positionV>
            <wp:extent cx="8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-447040</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-447040</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-447040</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-447040</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-447040</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-447040</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2660650</wp:posOffset>
            </wp:positionH>
            <wp:positionV relativeFrom="paragraph">
              <wp:posOffset>-447040</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2677795</wp:posOffset>
            </wp:positionH>
            <wp:positionV relativeFrom="paragraph">
              <wp:posOffset>-447040</wp:posOffset>
            </wp:positionV>
            <wp:extent cx="8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-447040</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-447040</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-447040</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-447040</wp:posOffset>
            </wp:positionV>
            <wp:extent cx="8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-447040</wp:posOffset>
            </wp:positionV>
            <wp:extent cx="8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2779395</wp:posOffset>
            </wp:positionH>
            <wp:positionV relativeFrom="paragraph">
              <wp:posOffset>-447040</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2795905</wp:posOffset>
            </wp:positionH>
            <wp:positionV relativeFrom="paragraph">
              <wp:posOffset>-447040</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2813050</wp:posOffset>
            </wp:positionH>
            <wp:positionV relativeFrom="paragraph">
              <wp:posOffset>-447040</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2829560</wp:posOffset>
            </wp:positionH>
            <wp:positionV relativeFrom="paragraph">
              <wp:posOffset>-447040</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2846705</wp:posOffset>
            </wp:positionH>
            <wp:positionV relativeFrom="paragraph">
              <wp:posOffset>-447040</wp:posOffset>
            </wp:positionV>
            <wp:extent cx="82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-447040</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2880360</wp:posOffset>
            </wp:positionH>
            <wp:positionV relativeFrom="paragraph">
              <wp:posOffset>-447040</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2897505</wp:posOffset>
            </wp:positionH>
            <wp:positionV relativeFrom="paragraph">
              <wp:posOffset>-447040</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2914015</wp:posOffset>
            </wp:positionH>
            <wp:positionV relativeFrom="paragraph">
              <wp:posOffset>-447040</wp:posOffset>
            </wp:positionV>
            <wp:extent cx="8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2931160</wp:posOffset>
            </wp:positionH>
            <wp:positionV relativeFrom="paragraph">
              <wp:posOffset>-447040</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2948305</wp:posOffset>
            </wp:positionH>
            <wp:positionV relativeFrom="paragraph">
              <wp:posOffset>-447040</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2964815</wp:posOffset>
            </wp:positionH>
            <wp:positionV relativeFrom="paragraph">
              <wp:posOffset>-447040</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2981960</wp:posOffset>
            </wp:positionH>
            <wp:positionV relativeFrom="paragraph">
              <wp:posOffset>-447040</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2999105</wp:posOffset>
            </wp:positionH>
            <wp:positionV relativeFrom="paragraph">
              <wp:posOffset>-447040</wp:posOffset>
            </wp:positionV>
            <wp:extent cx="8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-447040</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3032760</wp:posOffset>
            </wp:positionH>
            <wp:positionV relativeFrom="paragraph">
              <wp:posOffset>-447040</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-447040</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3066415</wp:posOffset>
            </wp:positionH>
            <wp:positionV relativeFrom="paragraph">
              <wp:posOffset>-447040</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-447040</wp:posOffset>
            </wp:positionV>
            <wp:extent cx="8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-447040</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-447040</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-447040</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-447040</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-447040</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-447040</wp:posOffset>
            </wp:positionV>
            <wp:extent cx="8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-447040</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-447040</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-447040</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3252470</wp:posOffset>
            </wp:positionH>
            <wp:positionV relativeFrom="paragraph">
              <wp:posOffset>-447040</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3269615</wp:posOffset>
            </wp:positionH>
            <wp:positionV relativeFrom="paragraph">
              <wp:posOffset>-447040</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3286125</wp:posOffset>
            </wp:positionH>
            <wp:positionV relativeFrom="paragraph">
              <wp:posOffset>-447040</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-447040</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3319780</wp:posOffset>
            </wp:positionH>
            <wp:positionV relativeFrom="paragraph">
              <wp:posOffset>-447040</wp:posOffset>
            </wp:positionV>
            <wp:extent cx="8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3336925</wp:posOffset>
            </wp:positionH>
            <wp:positionV relativeFrom="paragraph">
              <wp:posOffset>-447040</wp:posOffset>
            </wp:positionV>
            <wp:extent cx="8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3354070</wp:posOffset>
            </wp:positionH>
            <wp:positionV relativeFrom="paragraph">
              <wp:posOffset>-447040</wp:posOffset>
            </wp:positionV>
            <wp:extent cx="82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3370580</wp:posOffset>
            </wp:positionH>
            <wp:positionV relativeFrom="paragraph">
              <wp:posOffset>-447040</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3387725</wp:posOffset>
            </wp:positionH>
            <wp:positionV relativeFrom="paragraph">
              <wp:posOffset>-447040</wp:posOffset>
            </wp:positionV>
            <wp:extent cx="82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3404870</wp:posOffset>
            </wp:positionH>
            <wp:positionV relativeFrom="paragraph">
              <wp:posOffset>-447040</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3421380</wp:posOffset>
            </wp:positionH>
            <wp:positionV relativeFrom="paragraph">
              <wp:posOffset>-447040</wp:posOffset>
            </wp:positionV>
            <wp:extent cx="82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right="20"/>
        <w:spacing w:after="0" w:line="246" w:lineRule="auto"/>
        <w:rPr>
          <w:sz w:val="20"/>
          <w:szCs w:val="20"/>
          <w:color w:val="auto"/>
        </w:rPr>
      </w:pPr>
      <w:r>
        <w:rPr>
          <w:rFonts w:ascii="Arial" w:cs="Arial" w:eastAsia="Arial" w:hAnsi="Arial"/>
          <w:sz w:val="16"/>
          <w:szCs w:val="16"/>
          <w:color w:val="auto"/>
        </w:rPr>
        <w:t>deliver net-zero emissions and be capable of capturing over 95 percent of the carbon dioxide generated by the complex and permanently sequestering it safely underground, while hydrogen-fueled electricity will offset the remaining five percent of emissions.</w:t>
      </w:r>
    </w:p>
    <w:p>
      <w:pPr>
        <w:spacing w:after="0" w:line="151" w:lineRule="exact"/>
        <w:rPr>
          <w:sz w:val="20"/>
          <w:szCs w:val="20"/>
          <w:color w:val="auto"/>
        </w:rPr>
      </w:pPr>
    </w:p>
    <w:p>
      <w:pPr>
        <w:ind w:right="40"/>
        <w:spacing w:after="0" w:line="217" w:lineRule="auto"/>
        <w:rPr>
          <w:sz w:val="20"/>
          <w:szCs w:val="20"/>
          <w:color w:val="auto"/>
        </w:rPr>
      </w:pPr>
      <w:r>
        <w:rPr>
          <w:rFonts w:ascii="Arial" w:cs="Arial" w:eastAsia="Arial" w:hAnsi="Arial"/>
          <w:sz w:val="16"/>
          <w:szCs w:val="16"/>
          <w:color w:val="auto"/>
        </w:rPr>
        <w:t>We also recently announced a $4.5 billion investment in a world-scale clean energy complex in Louisiana where we will produce over 750 million standard cubic feet per day of blue hydrogen by 2026 and capture and permanently sequester over five million metric tons per year of CO</w:t>
      </w:r>
      <w:r>
        <w:rPr>
          <w:rFonts w:ascii="Arial" w:cs="Arial" w:eastAsia="Arial" w:hAnsi="Arial"/>
          <w:sz w:val="26"/>
          <w:szCs w:val="26"/>
          <w:color w:val="auto"/>
          <w:vertAlign w:val="subscript"/>
        </w:rPr>
        <w:t>2</w:t>
      </w:r>
      <w:r>
        <w:rPr>
          <w:rFonts w:ascii="Arial" w:cs="Arial" w:eastAsia="Arial" w:hAnsi="Arial"/>
          <w:sz w:val="16"/>
          <w:szCs w:val="16"/>
          <w:color w:val="auto"/>
        </w:rPr>
        <w:t>. This</w:t>
      </w:r>
    </w:p>
    <w:p>
      <w:pPr>
        <w:spacing w:after="0" w:line="3" w:lineRule="exact"/>
        <w:rPr>
          <w:sz w:val="20"/>
          <w:szCs w:val="20"/>
          <w:color w:val="auto"/>
        </w:rPr>
      </w:pPr>
    </w:p>
    <w:p>
      <w:pPr>
        <w:jc w:val="both"/>
        <w:ind w:right="120"/>
        <w:spacing w:after="0" w:line="254" w:lineRule="auto"/>
        <w:rPr>
          <w:sz w:val="20"/>
          <w:szCs w:val="20"/>
          <w:color w:val="auto"/>
        </w:rPr>
      </w:pPr>
      <w:r>
        <w:rPr>
          <w:rFonts w:ascii="Arial" w:cs="Arial" w:eastAsia="Arial" w:hAnsi="Arial"/>
          <w:sz w:val="16"/>
          <w:szCs w:val="16"/>
          <w:color w:val="auto"/>
        </w:rPr>
        <w:t>will be the largest carbon capture for sequestration facility in the world and will help advance the clean energy transition for the U.S. and for the world.</w:t>
      </w:r>
    </w:p>
    <w:p>
      <w:pPr>
        <w:spacing w:after="0" w:line="143"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auto"/>
        </w:rPr>
        <w:t>In addition, we are executing on large-scale gasification projects to enable the conversion of plentiful resources into high-value products. In October 2021 we completed the asset acquisition and financing for our $12 billion air separation unit, gasification and power joint venture in Jazan Economic City, Saudi Arabia.</w:t>
      </w:r>
    </w:p>
    <w:p>
      <w:pPr>
        <w:spacing w:after="0" w:line="152"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I also am pleased that again this year, our team was recognized for sustainability performance by prestigious organizations, including EcoVadis, Barron’s 100 Most Sustainable Companies, 100 Best Corporate Citizens and Human Rights Campaign Foundation’s 2021 Corporate Equality Index, among others. In 2021, we hosted a Day of Understanding/Week of Inclusion, underpinning our goal to be the most diverse industrial gas company in the world. We work hard every day to build a culture where all are valued, respected and feel that they belong and matter.</w:t>
      </w:r>
    </w:p>
    <w:p>
      <w:pPr>
        <w:spacing w:after="0" w:line="139"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There are many exciting opportunities ahead as we focus on driving our base business and creating and winning projects that help customers and countries meet their growing needs.</w:t>
      </w:r>
    </w:p>
    <w:p>
      <w:pPr>
        <w:spacing w:after="0" w:line="148" w:lineRule="exact"/>
        <w:rPr>
          <w:sz w:val="20"/>
          <w:szCs w:val="20"/>
          <w:color w:val="auto"/>
        </w:rPr>
      </w:pPr>
    </w:p>
    <w:p>
      <w:pPr>
        <w:jc w:val="both"/>
        <w:ind w:right="40"/>
        <w:spacing w:after="0" w:line="248" w:lineRule="auto"/>
        <w:rPr>
          <w:sz w:val="20"/>
          <w:szCs w:val="20"/>
          <w:color w:val="auto"/>
        </w:rPr>
      </w:pPr>
      <w:r>
        <w:rPr>
          <w:rFonts w:ascii="Arial" w:cs="Arial" w:eastAsia="Arial" w:hAnsi="Arial"/>
          <w:sz w:val="16"/>
          <w:szCs w:val="16"/>
          <w:color w:val="auto"/>
        </w:rPr>
        <w:t>Thank you for your continued support of our Company, and I look forward to speaking with fellow shareholders in February. Until then, stay well and stay safe.</w:t>
      </w:r>
    </w:p>
    <w:p>
      <w:pPr>
        <w:spacing w:after="0" w:line="766" w:lineRule="exact"/>
        <w:rPr>
          <w:sz w:val="20"/>
          <w:szCs w:val="20"/>
          <w:color w:val="auto"/>
        </w:rPr>
      </w:pPr>
    </w:p>
    <w:p>
      <w:pPr>
        <w:sectPr>
          <w:pgSz w:w="11900" w:h="16838" w:orient="portrait"/>
          <w:cols w:equalWidth="0" w:num="2">
            <w:col w:w="5400" w:space="440"/>
            <w:col w:w="5400"/>
          </w:cols>
          <w:pgMar w:left="320" w:top="140" w:right="339" w:bottom="107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400"/>
        <w:spacing w:after="0"/>
        <w:rPr>
          <w:sz w:val="20"/>
          <w:szCs w:val="20"/>
          <w:color w:val="auto"/>
        </w:rPr>
      </w:pPr>
      <w:r>
        <w:rPr>
          <w:rFonts w:ascii="Arial" w:cs="Arial" w:eastAsia="Arial" w:hAnsi="Arial"/>
          <w:sz w:val="18"/>
          <w:szCs w:val="18"/>
          <w:i w:val="1"/>
          <w:iCs w:val="1"/>
          <w:color w:val="009A4B"/>
        </w:rPr>
        <w:t>“The committed, dedicated and motivated team at Air Products proved once again that they can deliver excellent results despite challenges posed by external factors. I am proud of how our team is developing and executing projects that will increase our and our customers’ sustainability and drive profitable growth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All the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1268095" cy="4730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68095" cy="473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3"/>
          <w:szCs w:val="23"/>
          <w:b w:val="1"/>
          <w:bCs w:val="1"/>
          <w:color w:val="009A4B"/>
        </w:rPr>
        <w:t>Seifi Ghasemi</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Chairman, President and Chief Executive Officer</w:t>
      </w:r>
    </w:p>
    <w:p>
      <w:pPr>
        <w:sectPr>
          <w:pgSz w:w="11900" w:h="16838" w:orient="portrait"/>
          <w:cols w:equalWidth="0" w:num="1">
            <w:col w:w="11240"/>
          </w:cols>
          <w:pgMar w:left="320" w:top="140" w:right="339" w:bottom="1077" w:gutter="0" w:footer="0" w:header="0"/>
          <w:type w:val="continuous"/>
        </w:sectPr>
      </w:pPr>
    </w:p>
    <w:p>
      <w:pPr>
        <w:spacing w:after="0" w:line="347" w:lineRule="exact"/>
        <w:rPr>
          <w:sz w:val="20"/>
          <w:szCs w:val="20"/>
          <w:color w:val="auto"/>
        </w:rPr>
      </w:pPr>
    </w:p>
    <w:p>
      <w:pPr>
        <w:ind w:left="9520"/>
        <w:spacing w:after="0"/>
        <w:tabs>
          <w:tab w:leader="none" w:pos="11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55180"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077"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134225" cy="13271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4225" cy="132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
        <w:spacing w:after="0"/>
        <w:rPr>
          <w:sz w:val="20"/>
          <w:szCs w:val="20"/>
          <w:color w:val="auto"/>
        </w:rPr>
      </w:pPr>
      <w:r>
        <w:rPr>
          <w:rFonts w:ascii="Arial" w:cs="Arial" w:eastAsia="Arial" w:hAnsi="Arial"/>
          <w:sz w:val="44"/>
          <w:szCs w:val="44"/>
          <w:b w:val="1"/>
          <w:bCs w:val="1"/>
          <w:color w:val="009A4B"/>
        </w:rPr>
        <w:t>Notice of Annual Meeting of Shareholders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8"/>
          <w:szCs w:val="28"/>
          <w:color w:val="00A4E4"/>
        </w:rPr>
        <w:t>Logistics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82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9525</wp:posOffset>
            </wp:positionV>
            <wp:extent cx="82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9525</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9525</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71755</wp:posOffset>
            </wp:positionH>
            <wp:positionV relativeFrom="paragraph">
              <wp:posOffset>9525</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88900</wp:posOffset>
            </wp:positionH>
            <wp:positionV relativeFrom="paragraph">
              <wp:posOffset>9525</wp:posOffset>
            </wp:positionV>
            <wp:extent cx="8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105410</wp:posOffset>
            </wp:positionH>
            <wp:positionV relativeFrom="paragraph">
              <wp:posOffset>9525</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122555</wp:posOffset>
            </wp:positionH>
            <wp:positionV relativeFrom="paragraph">
              <wp:posOffset>9525</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9525</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9525</wp:posOffset>
            </wp:positionV>
            <wp:extent cx="8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9525</wp:posOffset>
            </wp:positionV>
            <wp:extent cx="82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9525</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9525</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224155</wp:posOffset>
            </wp:positionH>
            <wp:positionV relativeFrom="paragraph">
              <wp:posOffset>9525</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240665</wp:posOffset>
            </wp:positionH>
            <wp:positionV relativeFrom="paragraph">
              <wp:posOffset>9525</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257810</wp:posOffset>
            </wp:positionH>
            <wp:positionV relativeFrom="paragraph">
              <wp:posOffset>9525</wp:posOffset>
            </wp:positionV>
            <wp:extent cx="8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9525</wp:posOffset>
            </wp:positionV>
            <wp:extent cx="8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9525</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9525</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325120</wp:posOffset>
            </wp:positionH>
            <wp:positionV relativeFrom="paragraph">
              <wp:posOffset>9525</wp:posOffset>
            </wp:positionV>
            <wp:extent cx="8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9525</wp:posOffset>
            </wp:positionV>
            <wp:extent cx="82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9525</wp:posOffset>
            </wp:positionV>
            <wp:extent cx="82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375920</wp:posOffset>
            </wp:positionH>
            <wp:positionV relativeFrom="paragraph">
              <wp:posOffset>9525</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393065</wp:posOffset>
            </wp:positionH>
            <wp:positionV relativeFrom="paragraph">
              <wp:posOffset>9525</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409575</wp:posOffset>
            </wp:positionH>
            <wp:positionV relativeFrom="paragraph">
              <wp:posOffset>9525</wp:posOffset>
            </wp:positionV>
            <wp:extent cx="82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426720</wp:posOffset>
            </wp:positionH>
            <wp:positionV relativeFrom="paragraph">
              <wp:posOffset>9525</wp:posOffset>
            </wp:positionV>
            <wp:extent cx="8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443865</wp:posOffset>
            </wp:positionH>
            <wp:positionV relativeFrom="paragraph">
              <wp:posOffset>9525</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9525</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9525</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9525</wp:posOffset>
            </wp:positionV>
            <wp:extent cx="82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9525</wp:posOffset>
            </wp:positionV>
            <wp:extent cx="82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9525</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9525</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9525</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9525</wp:posOffset>
            </wp:positionV>
            <wp:extent cx="8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595630</wp:posOffset>
            </wp:positionH>
            <wp:positionV relativeFrom="paragraph">
              <wp:posOffset>9525</wp:posOffset>
            </wp:positionV>
            <wp:extent cx="8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9525</wp:posOffset>
            </wp:positionV>
            <wp:extent cx="8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629920</wp:posOffset>
            </wp:positionH>
            <wp:positionV relativeFrom="paragraph">
              <wp:posOffset>9525</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9525</wp:posOffset>
            </wp:positionV>
            <wp:extent cx="8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9525</wp:posOffset>
            </wp:positionV>
            <wp:extent cx="8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9525</wp:posOffset>
            </wp:positionV>
            <wp:extent cx="82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9525</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714375</wp:posOffset>
            </wp:positionH>
            <wp:positionV relativeFrom="paragraph">
              <wp:posOffset>9525</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730885</wp:posOffset>
            </wp:positionH>
            <wp:positionV relativeFrom="paragraph">
              <wp:posOffset>9525</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748030</wp:posOffset>
            </wp:positionH>
            <wp:positionV relativeFrom="paragraph">
              <wp:posOffset>9525</wp:posOffset>
            </wp:positionV>
            <wp:extent cx="82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765175</wp:posOffset>
            </wp:positionH>
            <wp:positionV relativeFrom="paragraph">
              <wp:posOffset>9525</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781685</wp:posOffset>
            </wp:positionH>
            <wp:positionV relativeFrom="paragraph">
              <wp:posOffset>9525</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9525</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815340</wp:posOffset>
            </wp:positionH>
            <wp:positionV relativeFrom="paragraph">
              <wp:posOffset>9525</wp:posOffset>
            </wp:positionV>
            <wp:extent cx="82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9525</wp:posOffset>
            </wp:positionV>
            <wp:extent cx="82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849630</wp:posOffset>
            </wp:positionH>
            <wp:positionV relativeFrom="paragraph">
              <wp:posOffset>9525</wp:posOffset>
            </wp:positionV>
            <wp:extent cx="82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866140</wp:posOffset>
            </wp:positionH>
            <wp:positionV relativeFrom="paragraph">
              <wp:posOffset>9525</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883285</wp:posOffset>
            </wp:positionH>
            <wp:positionV relativeFrom="paragraph">
              <wp:posOffset>9525</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900430</wp:posOffset>
            </wp:positionH>
            <wp:positionV relativeFrom="paragraph">
              <wp:posOffset>9525</wp:posOffset>
            </wp:positionV>
            <wp:extent cx="82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9525</wp:posOffset>
            </wp:positionV>
            <wp:extent cx="82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9525</wp:posOffset>
            </wp:positionV>
            <wp:extent cx="82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950595</wp:posOffset>
            </wp:positionH>
            <wp:positionV relativeFrom="paragraph">
              <wp:posOffset>9525</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967740</wp:posOffset>
            </wp:positionH>
            <wp:positionV relativeFrom="paragraph">
              <wp:posOffset>9525</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9525</wp:posOffset>
            </wp:positionV>
            <wp:extent cx="82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1001395</wp:posOffset>
            </wp:positionH>
            <wp:positionV relativeFrom="paragraph">
              <wp:posOffset>9525</wp:posOffset>
            </wp:positionV>
            <wp:extent cx="82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1018540</wp:posOffset>
            </wp:positionH>
            <wp:positionV relativeFrom="paragraph">
              <wp:posOffset>9525</wp:posOffset>
            </wp:positionV>
            <wp:extent cx="8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9525</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1052195</wp:posOffset>
            </wp:positionH>
            <wp:positionV relativeFrom="paragraph">
              <wp:posOffset>9525</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1069340</wp:posOffset>
            </wp:positionH>
            <wp:positionV relativeFrom="paragraph">
              <wp:posOffset>9525</wp:posOffset>
            </wp:positionV>
            <wp:extent cx="82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9525</wp:posOffset>
            </wp:positionV>
            <wp:extent cx="82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9525</wp:posOffset>
            </wp:positionV>
            <wp:extent cx="82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9525</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9525</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9525</wp:posOffset>
            </wp:positionV>
            <wp:extent cx="82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9525</wp:posOffset>
            </wp:positionV>
            <wp:extent cx="82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1187450</wp:posOffset>
            </wp:positionH>
            <wp:positionV relativeFrom="paragraph">
              <wp:posOffset>9525</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9525</wp:posOffset>
            </wp:positionV>
            <wp:extent cx="8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1221105</wp:posOffset>
            </wp:positionH>
            <wp:positionV relativeFrom="paragraph">
              <wp:posOffset>9525</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9525</wp:posOffset>
            </wp:positionV>
            <wp:extent cx="82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1255395</wp:posOffset>
            </wp:positionH>
            <wp:positionV relativeFrom="paragraph">
              <wp:posOffset>9525</wp:posOffset>
            </wp:positionV>
            <wp:extent cx="82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1271905</wp:posOffset>
            </wp:positionH>
            <wp:positionV relativeFrom="paragraph">
              <wp:posOffset>9525</wp:posOffset>
            </wp:positionV>
            <wp:extent cx="82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9525</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1305560</wp:posOffset>
            </wp:positionH>
            <wp:positionV relativeFrom="paragraph">
              <wp:posOffset>9525</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1322705</wp:posOffset>
            </wp:positionH>
            <wp:positionV relativeFrom="paragraph">
              <wp:posOffset>9525</wp:posOffset>
            </wp:positionV>
            <wp:extent cx="82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1339850</wp:posOffset>
            </wp:positionH>
            <wp:positionV relativeFrom="paragraph">
              <wp:posOffset>9525</wp:posOffset>
            </wp:positionV>
            <wp:extent cx="82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1356360</wp:posOffset>
            </wp:positionH>
            <wp:positionV relativeFrom="paragraph">
              <wp:posOffset>9525</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9525</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1390650</wp:posOffset>
            </wp:positionH>
            <wp:positionV relativeFrom="paragraph">
              <wp:posOffset>9525</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1407160</wp:posOffset>
            </wp:positionH>
            <wp:positionV relativeFrom="paragraph">
              <wp:posOffset>9525</wp:posOffset>
            </wp:positionV>
            <wp:extent cx="82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1424305</wp:posOffset>
            </wp:positionH>
            <wp:positionV relativeFrom="paragraph">
              <wp:posOffset>9525</wp:posOffset>
            </wp:positionV>
            <wp:extent cx="82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1440815</wp:posOffset>
            </wp:positionH>
            <wp:positionV relativeFrom="paragraph">
              <wp:posOffset>9525</wp:posOffset>
            </wp:positionV>
            <wp:extent cx="82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1457960</wp:posOffset>
            </wp:positionH>
            <wp:positionV relativeFrom="paragraph">
              <wp:posOffset>9525</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1475105</wp:posOffset>
            </wp:positionH>
            <wp:positionV relativeFrom="paragraph">
              <wp:posOffset>9525</wp:posOffset>
            </wp:positionV>
            <wp:extent cx="82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1491615</wp:posOffset>
            </wp:positionH>
            <wp:positionV relativeFrom="paragraph">
              <wp:posOffset>9525</wp:posOffset>
            </wp:positionV>
            <wp:extent cx="825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1508760</wp:posOffset>
            </wp:positionH>
            <wp:positionV relativeFrom="paragraph">
              <wp:posOffset>9525</wp:posOffset>
            </wp:positionV>
            <wp:extent cx="82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1525905</wp:posOffset>
            </wp:positionH>
            <wp:positionV relativeFrom="paragraph">
              <wp:posOffset>9525</wp:posOffset>
            </wp:positionV>
            <wp:extent cx="8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1542415</wp:posOffset>
            </wp:positionH>
            <wp:positionV relativeFrom="paragraph">
              <wp:posOffset>9525</wp:posOffset>
            </wp:positionV>
            <wp:extent cx="8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1559560</wp:posOffset>
            </wp:positionH>
            <wp:positionV relativeFrom="paragraph">
              <wp:posOffset>9525</wp:posOffset>
            </wp:positionV>
            <wp:extent cx="8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1576070</wp:posOffset>
            </wp:positionH>
            <wp:positionV relativeFrom="paragraph">
              <wp:posOffset>9525</wp:posOffset>
            </wp:positionV>
            <wp:extent cx="82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1593215</wp:posOffset>
            </wp:positionH>
            <wp:positionV relativeFrom="paragraph">
              <wp:posOffset>9525</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1610360</wp:posOffset>
            </wp:positionH>
            <wp:positionV relativeFrom="paragraph">
              <wp:posOffset>9525</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1626870</wp:posOffset>
            </wp:positionH>
            <wp:positionV relativeFrom="paragraph">
              <wp:posOffset>9525</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9525</wp:posOffset>
            </wp:positionV>
            <wp:extent cx="8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1661160</wp:posOffset>
            </wp:positionH>
            <wp:positionV relativeFrom="paragraph">
              <wp:posOffset>9525</wp:posOffset>
            </wp:positionV>
            <wp:extent cx="8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9525</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9525</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9525</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9525</wp:posOffset>
            </wp:positionV>
            <wp:extent cx="8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9525</wp:posOffset>
            </wp:positionV>
            <wp:extent cx="82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9525</wp:posOffset>
            </wp:positionV>
            <wp:extent cx="82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9525</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9525</wp:posOffset>
            </wp:positionV>
            <wp:extent cx="8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1812925</wp:posOffset>
            </wp:positionH>
            <wp:positionV relativeFrom="paragraph">
              <wp:posOffset>9525</wp:posOffset>
            </wp:positionV>
            <wp:extent cx="8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9525</wp:posOffset>
            </wp:positionV>
            <wp:extent cx="82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9525</wp:posOffset>
            </wp:positionV>
            <wp:extent cx="82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9525</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9525</wp:posOffset>
            </wp:positionV>
            <wp:extent cx="8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119380</wp:posOffset>
            </wp:positionV>
            <wp:extent cx="295910" cy="3130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95910" cy="31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b w:val="1"/>
          <w:bCs w:val="1"/>
          <w:color w:val="00A4E4"/>
        </w:rPr>
        <w:t>Date and Time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Thursday, February 3, 2022</w:t>
      </w:r>
    </w:p>
    <w:p>
      <w:pPr>
        <w:spacing w:after="0"/>
        <w:rPr>
          <w:sz w:val="20"/>
          <w:szCs w:val="20"/>
          <w:color w:val="auto"/>
        </w:rPr>
      </w:pPr>
      <w:r>
        <w:rPr>
          <w:rFonts w:ascii="Arial" w:cs="Arial" w:eastAsia="Arial" w:hAnsi="Arial"/>
          <w:sz w:val="14"/>
          <w:szCs w:val="14"/>
          <w:color w:val="auto"/>
        </w:rPr>
        <w:t>2:00 p.m.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88900</wp:posOffset>
            </wp:positionV>
            <wp:extent cx="18846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8846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190500</wp:posOffset>
            </wp:positionV>
            <wp:extent cx="253365" cy="1860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53365" cy="18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color w:val="00A4E4"/>
        </w:rPr>
        <w:t>Virtual Meeting</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To support the health and well-being of our</w:t>
      </w:r>
    </w:p>
    <w:p>
      <w:pPr>
        <w:spacing w:after="0" w:line="238" w:lineRule="auto"/>
        <w:rPr>
          <w:sz w:val="20"/>
          <w:szCs w:val="20"/>
          <w:color w:val="auto"/>
        </w:rPr>
      </w:pPr>
      <w:r>
        <w:rPr>
          <w:rFonts w:ascii="Arial" w:cs="Arial" w:eastAsia="Arial" w:hAnsi="Arial"/>
          <w:sz w:val="14"/>
          <w:szCs w:val="14"/>
          <w:color w:val="auto"/>
        </w:rPr>
        <w:t>employees and shareholders, the 2022 Annual</w:t>
      </w:r>
    </w:p>
    <w:p>
      <w:pPr>
        <w:spacing w:after="0" w:line="238" w:lineRule="auto"/>
        <w:rPr>
          <w:sz w:val="20"/>
          <w:szCs w:val="20"/>
          <w:color w:val="auto"/>
        </w:rPr>
      </w:pPr>
      <w:r>
        <w:rPr>
          <w:rFonts w:ascii="Arial" w:cs="Arial" w:eastAsia="Arial" w:hAnsi="Arial"/>
          <w:sz w:val="14"/>
          <w:szCs w:val="14"/>
          <w:color w:val="auto"/>
        </w:rPr>
        <w:t>Meeting of Shareholders will be conducted</w:t>
      </w:r>
    </w:p>
    <w:p>
      <w:pPr>
        <w:spacing w:after="0" w:line="238" w:lineRule="auto"/>
        <w:rPr>
          <w:sz w:val="20"/>
          <w:szCs w:val="20"/>
          <w:color w:val="auto"/>
        </w:rPr>
      </w:pPr>
      <w:r>
        <w:rPr>
          <w:rFonts w:ascii="Arial" w:cs="Arial" w:eastAsia="Arial" w:hAnsi="Arial"/>
          <w:sz w:val="14"/>
          <w:szCs w:val="14"/>
          <w:color w:val="auto"/>
        </w:rPr>
        <w:t>virtually at:</w:t>
      </w:r>
    </w:p>
    <w:p>
      <w:pPr>
        <w:spacing w:after="0"/>
        <w:rPr>
          <w:sz w:val="20"/>
          <w:szCs w:val="20"/>
          <w:color w:val="auto"/>
        </w:rPr>
      </w:pPr>
      <w:r>
        <w:rPr>
          <w:rFonts w:ascii="Arial" w:cs="Arial" w:eastAsia="Arial" w:hAnsi="Arial"/>
          <w:sz w:val="14"/>
          <w:szCs w:val="14"/>
          <w:i w:val="1"/>
          <w:iCs w:val="1"/>
          <w:color w:val="009A4B"/>
        </w:rPr>
        <w:t>www.virtualshareholdermeeting.com/APD2022</w:t>
      </w:r>
      <w:r>
        <w:rPr>
          <w:rFonts w:ascii="Arial" w:cs="Arial" w:eastAsia="Arial" w:hAnsi="Arial"/>
          <w:sz w:val="14"/>
          <w:szCs w:val="14"/>
          <w:color w:val="000000"/>
        </w:rPr>
        <w:t>.</w:t>
      </w:r>
    </w:p>
    <w:p>
      <w:pPr>
        <w:spacing w:after="0" w:line="145" w:lineRule="exact"/>
        <w:rPr>
          <w:sz w:val="20"/>
          <w:szCs w:val="20"/>
          <w:color w:val="auto"/>
        </w:rPr>
      </w:pPr>
    </w:p>
    <w:p>
      <w:pPr>
        <w:ind w:right="140"/>
        <w:spacing w:after="0" w:line="252" w:lineRule="auto"/>
        <w:rPr>
          <w:sz w:val="20"/>
          <w:szCs w:val="20"/>
          <w:color w:val="auto"/>
        </w:rPr>
      </w:pPr>
      <w:r>
        <w:rPr>
          <w:rFonts w:ascii="Arial" w:cs="Arial" w:eastAsia="Arial" w:hAnsi="Arial"/>
          <w:sz w:val="14"/>
          <w:szCs w:val="14"/>
          <w:color w:val="auto"/>
        </w:rPr>
        <w:t>Procedures for attending and participating in the virtual meeting are explained on 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18846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884680"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171450</wp:posOffset>
            </wp:positionV>
            <wp:extent cx="295910" cy="2705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95910" cy="270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00A4E4"/>
        </w:rPr>
        <w:t>Record Date</w:t>
      </w:r>
    </w:p>
    <w:p>
      <w:pPr>
        <w:spacing w:after="0" w:line="163"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Shareholders of record at the close of business on December 7, 2021 are entitled to receive this notice and to vote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18846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884680" cy="8255"/>
                    </a:xfrm>
                    <a:prstGeom prst="rect">
                      <a:avLst/>
                    </a:prstGeom>
                    <a:noFill/>
                  </pic:spPr>
                </pic:pic>
              </a:graphicData>
            </a:graphic>
          </wp:anchor>
        </w:drawing>
      </w:r>
    </w:p>
    <w:p>
      <w:pPr>
        <w:spacing w:after="0" w:line="254" w:lineRule="exact"/>
        <w:rPr>
          <w:sz w:val="20"/>
          <w:szCs w:val="20"/>
          <w:color w:val="auto"/>
        </w:rPr>
      </w:pPr>
    </w:p>
    <w:p>
      <w:pPr>
        <w:ind w:right="120"/>
        <w:spacing w:after="0" w:line="248" w:lineRule="auto"/>
        <w:rPr>
          <w:sz w:val="20"/>
          <w:szCs w:val="20"/>
          <w:color w:val="auto"/>
        </w:rPr>
      </w:pPr>
      <w:r>
        <w:rPr>
          <w:rFonts w:ascii="Arial" w:cs="Arial" w:eastAsia="Arial" w:hAnsi="Arial"/>
          <w:sz w:val="14"/>
          <w:szCs w:val="14"/>
          <w:b w:val="1"/>
          <w:bCs w:val="1"/>
          <w:color w:val="auto"/>
        </w:rPr>
        <w:t>Important Notice Regarding Internet Availability of Proxy Materials for the Air Products and Chemicals, Inc. 2022 Annual Meeting of Shareholders To Be Held on February 3, 2022:</w:t>
      </w:r>
    </w:p>
    <w:p>
      <w:pPr>
        <w:spacing w:after="0" w:line="100" w:lineRule="exact"/>
        <w:rPr>
          <w:sz w:val="20"/>
          <w:szCs w:val="20"/>
          <w:color w:val="auto"/>
        </w:rPr>
      </w:pPr>
    </w:p>
    <w:p>
      <w:pPr>
        <w:jc w:val="both"/>
        <w:ind w:right="340"/>
        <w:spacing w:after="0" w:line="258" w:lineRule="auto"/>
        <w:rPr>
          <w:sz w:val="20"/>
          <w:szCs w:val="20"/>
          <w:color w:val="auto"/>
        </w:rPr>
      </w:pPr>
      <w:r>
        <w:rPr>
          <w:rFonts w:ascii="Arial" w:cs="Arial" w:eastAsia="Arial" w:hAnsi="Arial"/>
          <w:sz w:val="14"/>
          <w:szCs w:val="14"/>
          <w:b w:val="1"/>
          <w:bCs w:val="1"/>
          <w:color w:val="auto"/>
        </w:rPr>
        <w:t xml:space="preserve">Our proxy statement and 2021 Annual Report to Shareholders are available at </w:t>
      </w:r>
      <w:r>
        <w:rPr>
          <w:rFonts w:ascii="Arial" w:cs="Arial" w:eastAsia="Arial" w:hAnsi="Arial"/>
          <w:sz w:val="14"/>
          <w:szCs w:val="14"/>
          <w:i w:val="1"/>
          <w:iCs w:val="1"/>
          <w:color w:val="009A4B"/>
        </w:rPr>
        <w:t>www.proxyvote.com</w:t>
      </w:r>
      <w:r>
        <w:rPr>
          <w:rFonts w:ascii="Arial" w:cs="Arial" w:eastAsia="Arial" w:hAnsi="Arial"/>
          <w:sz w:val="14"/>
          <w:szCs w:val="14"/>
          <w:b w:val="1"/>
          <w:bCs w:val="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1868170</wp:posOffset>
            </wp:positionV>
            <wp:extent cx="845185" cy="2025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45185" cy="2025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8"/>
          <w:szCs w:val="28"/>
          <w:color w:val="00A4E4"/>
        </w:rPr>
        <w:t>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48520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852035" cy="8255"/>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300" w:type="dxa"/>
            <w:vAlign w:val="bottom"/>
          </w:tcPr>
          <w:p>
            <w:pPr>
              <w:ind w:left="60"/>
              <w:spacing w:after="0"/>
              <w:rPr>
                <w:sz w:val="20"/>
                <w:szCs w:val="20"/>
                <w:color w:val="auto"/>
              </w:rPr>
            </w:pPr>
            <w:r>
              <w:rPr>
                <w:rFonts w:ascii="Arial" w:cs="Arial" w:eastAsia="Arial" w:hAnsi="Arial"/>
                <w:sz w:val="14"/>
                <w:szCs w:val="14"/>
                <w:b w:val="1"/>
                <w:bCs w:val="1"/>
                <w:color w:val="auto"/>
              </w:rPr>
              <w:t>Board Vote</w:t>
            </w: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Company Proposals</w:t>
            </w: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Recommendation</w:t>
            </w:r>
          </w:p>
        </w:tc>
        <w:tc>
          <w:tcPr>
            <w:tcW w:w="1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Votes Required</w:t>
            </w: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92"/>
        </w:trPr>
        <w:tc>
          <w:tcPr>
            <w:tcW w:w="110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300" w:type="dxa"/>
            <w:vAlign w:val="bottom"/>
            <w:vMerge w:val="restart"/>
          </w:tcPr>
          <w:p>
            <w:pPr>
              <w:ind w:left="540"/>
              <w:spacing w:after="0"/>
              <w:rPr>
                <w:sz w:val="20"/>
                <w:szCs w:val="20"/>
                <w:color w:val="auto"/>
              </w:rPr>
            </w:pPr>
            <w:r>
              <w:rPr>
                <w:rFonts w:ascii="Arial" w:cs="Arial" w:eastAsia="Arial" w:hAnsi="Arial"/>
                <w:sz w:val="18"/>
                <w:szCs w:val="18"/>
                <w:b w:val="1"/>
                <w:bCs w:val="1"/>
                <w:color w:val="00A4E4"/>
              </w:rPr>
              <w:t>FOR</w:t>
            </w: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1100" w:type="dxa"/>
            <w:vAlign w:val="bottom"/>
            <w:tcBorders>
              <w:bottom w:val="single" w:sz="8" w:color="009844"/>
            </w:tcBorders>
            <w:shd w:val="clear" w:color="auto" w:fill="009844"/>
          </w:tcPr>
          <w:p>
            <w:pPr>
              <w:ind w:left="80"/>
              <w:spacing w:after="0" w:line="164" w:lineRule="exact"/>
              <w:rPr>
                <w:sz w:val="20"/>
                <w:szCs w:val="20"/>
                <w:color w:val="auto"/>
              </w:rPr>
            </w:pPr>
            <w:r>
              <w:rPr>
                <w:rFonts w:ascii="Arial" w:cs="Arial" w:eastAsia="Arial" w:hAnsi="Arial"/>
                <w:sz w:val="18"/>
                <w:szCs w:val="18"/>
                <w:b w:val="1"/>
                <w:bCs w:val="1"/>
                <w:color w:val="FFFFFF"/>
                <w:shd w:val="clear" w:color="auto" w:fill="009844"/>
              </w:rPr>
              <w:t>Proposal 1.</w:t>
            </w:r>
          </w:p>
        </w:tc>
        <w:tc>
          <w:tcPr>
            <w:tcW w:w="3700" w:type="dxa"/>
            <w:vAlign w:val="bottom"/>
          </w:tcPr>
          <w:p>
            <w:pPr>
              <w:ind w:left="40"/>
              <w:spacing w:after="0"/>
              <w:rPr>
                <w:sz w:val="20"/>
                <w:szCs w:val="20"/>
                <w:color w:val="auto"/>
              </w:rPr>
            </w:pPr>
            <w:r>
              <w:rPr>
                <w:rFonts w:ascii="Arial" w:cs="Arial" w:eastAsia="Arial" w:hAnsi="Arial"/>
                <w:sz w:val="14"/>
                <w:szCs w:val="14"/>
                <w:color w:val="auto"/>
              </w:rPr>
              <w:t>Elect the seven nominees proposed by the Board of</w:t>
            </w:r>
          </w:p>
        </w:tc>
        <w:tc>
          <w:tcPr>
            <w:tcW w:w="1300" w:type="dxa"/>
            <w:vAlign w:val="bottom"/>
            <w:vMerge w:val="continue"/>
          </w:tcPr>
          <w:p>
            <w:pPr>
              <w:spacing w:after="0"/>
              <w:rPr>
                <w:sz w:val="15"/>
                <w:szCs w:val="15"/>
                <w:color w:val="auto"/>
              </w:rPr>
            </w:pPr>
          </w:p>
        </w:tc>
        <w:tc>
          <w:tcPr>
            <w:tcW w:w="1120" w:type="dxa"/>
            <w:vAlign w:val="bottom"/>
          </w:tcPr>
          <w:p>
            <w:pPr>
              <w:ind w:left="40"/>
              <w:spacing w:after="0"/>
              <w:rPr>
                <w:sz w:val="20"/>
                <w:szCs w:val="20"/>
                <w:color w:val="auto"/>
              </w:rPr>
            </w:pPr>
            <w:r>
              <w:rPr>
                <w:rFonts w:ascii="Arial" w:cs="Arial" w:eastAsia="Arial" w:hAnsi="Arial"/>
                <w:sz w:val="14"/>
                <w:szCs w:val="14"/>
                <w:color w:val="auto"/>
              </w:rPr>
              <w:t>Majority of</w:t>
            </w:r>
          </w:p>
        </w:tc>
        <w:tc>
          <w:tcPr>
            <w:tcW w:w="400" w:type="dxa"/>
            <w:vAlign w:val="bottom"/>
          </w:tcPr>
          <w:p>
            <w:pPr>
              <w:ind w:left="4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1"/>
        </w:trPr>
        <w:tc>
          <w:tcPr>
            <w:tcW w:w="4800" w:type="dxa"/>
            <w:vAlign w:val="bottom"/>
            <w:tcBorders>
              <w:bottom w:val="single" w:sz="8" w:color="949599"/>
            </w:tcBorders>
            <w:gridSpan w:val="2"/>
          </w:tcPr>
          <w:p>
            <w:pPr>
              <w:spacing w:after="0"/>
              <w:rPr>
                <w:sz w:val="20"/>
                <w:szCs w:val="20"/>
                <w:color w:val="auto"/>
              </w:rPr>
            </w:pPr>
            <w:r>
              <w:rPr>
                <w:rFonts w:ascii="Arial" w:cs="Arial" w:eastAsia="Arial" w:hAnsi="Arial"/>
                <w:sz w:val="14"/>
                <w:szCs w:val="14"/>
                <w:color w:val="auto"/>
              </w:rPr>
              <w:t>Directors as directors for a one-year term ending in 2022.</w:t>
            </w:r>
          </w:p>
        </w:tc>
        <w:tc>
          <w:tcPr>
            <w:tcW w:w="1300" w:type="dxa"/>
            <w:vAlign w:val="bottom"/>
            <w:tcBorders>
              <w:bottom w:val="single" w:sz="8" w:color="949599"/>
            </w:tcBorders>
          </w:tcPr>
          <w:p>
            <w:pPr>
              <w:spacing w:after="0"/>
              <w:rPr>
                <w:sz w:val="15"/>
                <w:szCs w:val="15"/>
                <w:color w:val="auto"/>
              </w:rPr>
            </w:pPr>
          </w:p>
        </w:tc>
        <w:tc>
          <w:tcPr>
            <w:tcW w:w="1120" w:type="dxa"/>
            <w:vAlign w:val="bottom"/>
            <w:tcBorders>
              <w:bottom w:val="single" w:sz="8" w:color="949599"/>
            </w:tcBorders>
          </w:tcPr>
          <w:p>
            <w:pPr>
              <w:ind w:left="40"/>
              <w:spacing w:after="0" w:line="135" w:lineRule="exact"/>
              <w:rPr>
                <w:sz w:val="20"/>
                <w:szCs w:val="20"/>
                <w:color w:val="auto"/>
              </w:rPr>
            </w:pPr>
            <w:r>
              <w:rPr>
                <w:rFonts w:ascii="Arial" w:cs="Arial" w:eastAsia="Arial" w:hAnsi="Arial"/>
                <w:sz w:val="14"/>
                <w:szCs w:val="14"/>
                <w:color w:val="auto"/>
              </w:rPr>
              <w:t>Votes Cast</w:t>
            </w:r>
          </w:p>
        </w:tc>
        <w:tc>
          <w:tcPr>
            <w:tcW w:w="400" w:type="dxa"/>
            <w:vAlign w:val="bottom"/>
            <w:tcBorders>
              <w:bottom w:val="single" w:sz="8" w:color="949599"/>
            </w:tcBorders>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1100" w:type="dxa"/>
            <w:vAlign w:val="bottom"/>
          </w:tcPr>
          <w:p>
            <w:pPr>
              <w:spacing w:after="0"/>
              <w:rPr>
                <w:sz w:val="4"/>
                <w:szCs w:val="4"/>
                <w:color w:val="auto"/>
              </w:rPr>
            </w:pPr>
          </w:p>
        </w:tc>
        <w:tc>
          <w:tcPr>
            <w:tcW w:w="3700" w:type="dxa"/>
            <w:vAlign w:val="bottom"/>
          </w:tcPr>
          <w:p>
            <w:pPr>
              <w:spacing w:after="0"/>
              <w:rPr>
                <w:sz w:val="4"/>
                <w:szCs w:val="4"/>
                <w:color w:val="auto"/>
              </w:rPr>
            </w:pPr>
          </w:p>
        </w:tc>
        <w:tc>
          <w:tcPr>
            <w:tcW w:w="1300" w:type="dxa"/>
            <w:vAlign w:val="bottom"/>
            <w:vMerge w:val="restart"/>
          </w:tcPr>
          <w:p>
            <w:pPr>
              <w:ind w:left="540"/>
              <w:spacing w:after="0"/>
              <w:rPr>
                <w:sz w:val="20"/>
                <w:szCs w:val="20"/>
                <w:color w:val="auto"/>
              </w:rPr>
            </w:pPr>
            <w:r>
              <w:rPr>
                <w:rFonts w:ascii="Arial" w:cs="Arial" w:eastAsia="Arial" w:hAnsi="Arial"/>
                <w:sz w:val="18"/>
                <w:szCs w:val="18"/>
                <w:b w:val="1"/>
                <w:bCs w:val="1"/>
                <w:color w:val="00A4E4"/>
              </w:rPr>
              <w:t>FOR</w:t>
            </w: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100" w:type="dxa"/>
            <w:vAlign w:val="bottom"/>
            <w:tcBorders>
              <w:bottom w:val="single" w:sz="8" w:color="009844"/>
            </w:tcBorders>
            <w:shd w:val="clear" w:color="auto" w:fill="009844"/>
          </w:tcPr>
          <w:p>
            <w:pPr>
              <w:ind w:left="80"/>
              <w:spacing w:after="0" w:line="164" w:lineRule="exact"/>
              <w:rPr>
                <w:sz w:val="20"/>
                <w:szCs w:val="20"/>
                <w:color w:val="auto"/>
              </w:rPr>
            </w:pPr>
            <w:r>
              <w:rPr>
                <w:rFonts w:ascii="Arial" w:cs="Arial" w:eastAsia="Arial" w:hAnsi="Arial"/>
                <w:sz w:val="18"/>
                <w:szCs w:val="18"/>
                <w:b w:val="1"/>
                <w:bCs w:val="1"/>
                <w:color w:val="FFFFFF"/>
                <w:shd w:val="clear" w:color="auto" w:fill="009844"/>
              </w:rPr>
              <w:t>Proposal 2.</w:t>
            </w:r>
          </w:p>
        </w:tc>
        <w:tc>
          <w:tcPr>
            <w:tcW w:w="3700" w:type="dxa"/>
            <w:vAlign w:val="bottom"/>
          </w:tcPr>
          <w:p>
            <w:pPr>
              <w:ind w:left="40"/>
              <w:spacing w:after="0"/>
              <w:rPr>
                <w:sz w:val="20"/>
                <w:szCs w:val="20"/>
                <w:color w:val="auto"/>
              </w:rPr>
            </w:pPr>
            <w:r>
              <w:rPr>
                <w:rFonts w:ascii="Arial" w:cs="Arial" w:eastAsia="Arial" w:hAnsi="Arial"/>
                <w:sz w:val="14"/>
                <w:szCs w:val="14"/>
                <w:color w:val="auto"/>
              </w:rPr>
              <w:t>Conduct an advisory vote on executive officer</w:t>
            </w:r>
          </w:p>
        </w:tc>
        <w:tc>
          <w:tcPr>
            <w:tcW w:w="1300" w:type="dxa"/>
            <w:vAlign w:val="bottom"/>
            <w:vMerge w:val="continue"/>
          </w:tcPr>
          <w:p>
            <w:pPr>
              <w:spacing w:after="0"/>
              <w:rPr>
                <w:sz w:val="15"/>
                <w:szCs w:val="15"/>
                <w:color w:val="auto"/>
              </w:rPr>
            </w:pPr>
          </w:p>
        </w:tc>
        <w:tc>
          <w:tcPr>
            <w:tcW w:w="1120" w:type="dxa"/>
            <w:vAlign w:val="bottom"/>
          </w:tcPr>
          <w:p>
            <w:pPr>
              <w:ind w:left="40"/>
              <w:spacing w:after="0"/>
              <w:rPr>
                <w:sz w:val="20"/>
                <w:szCs w:val="20"/>
                <w:color w:val="auto"/>
              </w:rPr>
            </w:pPr>
            <w:r>
              <w:rPr>
                <w:rFonts w:ascii="Arial" w:cs="Arial" w:eastAsia="Arial" w:hAnsi="Arial"/>
                <w:sz w:val="14"/>
                <w:szCs w:val="14"/>
                <w:color w:val="auto"/>
              </w:rPr>
              <w:t>Majority of</w:t>
            </w:r>
          </w:p>
        </w:tc>
        <w:tc>
          <w:tcPr>
            <w:tcW w:w="400" w:type="dxa"/>
            <w:vAlign w:val="bottom"/>
          </w:tcPr>
          <w:p>
            <w:pPr>
              <w:ind w:left="4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1"/>
        </w:trPr>
        <w:tc>
          <w:tcPr>
            <w:tcW w:w="1100" w:type="dxa"/>
            <w:vAlign w:val="bottom"/>
            <w:tcBorders>
              <w:bottom w:val="single" w:sz="8" w:color="949599"/>
            </w:tcBorders>
          </w:tcPr>
          <w:p>
            <w:pPr>
              <w:spacing w:after="0"/>
              <w:rPr>
                <w:sz w:val="20"/>
                <w:szCs w:val="20"/>
                <w:color w:val="auto"/>
              </w:rPr>
            </w:pPr>
            <w:r>
              <w:rPr>
                <w:rFonts w:ascii="Arial" w:cs="Arial" w:eastAsia="Arial" w:hAnsi="Arial"/>
                <w:sz w:val="14"/>
                <w:szCs w:val="14"/>
                <w:color w:val="auto"/>
              </w:rPr>
              <w:t>compensation.</w:t>
            </w:r>
          </w:p>
        </w:tc>
        <w:tc>
          <w:tcPr>
            <w:tcW w:w="3700" w:type="dxa"/>
            <w:vAlign w:val="bottom"/>
            <w:tcBorders>
              <w:bottom w:val="single" w:sz="8" w:color="949599"/>
            </w:tcBorders>
          </w:tcPr>
          <w:p>
            <w:pPr>
              <w:spacing w:after="0"/>
              <w:rPr>
                <w:sz w:val="15"/>
                <w:szCs w:val="15"/>
                <w:color w:val="auto"/>
              </w:rPr>
            </w:pPr>
          </w:p>
        </w:tc>
        <w:tc>
          <w:tcPr>
            <w:tcW w:w="1300" w:type="dxa"/>
            <w:vAlign w:val="bottom"/>
            <w:tcBorders>
              <w:bottom w:val="single" w:sz="8" w:color="949599"/>
            </w:tcBorders>
          </w:tcPr>
          <w:p>
            <w:pPr>
              <w:spacing w:after="0"/>
              <w:rPr>
                <w:sz w:val="15"/>
                <w:szCs w:val="15"/>
                <w:color w:val="auto"/>
              </w:rPr>
            </w:pPr>
          </w:p>
        </w:tc>
        <w:tc>
          <w:tcPr>
            <w:tcW w:w="1120" w:type="dxa"/>
            <w:vAlign w:val="bottom"/>
            <w:tcBorders>
              <w:bottom w:val="single" w:sz="8" w:color="949599"/>
            </w:tcBorders>
          </w:tcPr>
          <w:p>
            <w:pPr>
              <w:ind w:left="40"/>
              <w:spacing w:after="0" w:line="135" w:lineRule="exact"/>
              <w:rPr>
                <w:sz w:val="20"/>
                <w:szCs w:val="20"/>
                <w:color w:val="auto"/>
              </w:rPr>
            </w:pPr>
            <w:r>
              <w:rPr>
                <w:rFonts w:ascii="Arial" w:cs="Arial" w:eastAsia="Arial" w:hAnsi="Arial"/>
                <w:sz w:val="14"/>
                <w:szCs w:val="14"/>
                <w:color w:val="auto"/>
              </w:rPr>
              <w:t>Votes Cast</w:t>
            </w:r>
          </w:p>
        </w:tc>
        <w:tc>
          <w:tcPr>
            <w:tcW w:w="400" w:type="dxa"/>
            <w:vAlign w:val="bottom"/>
            <w:tcBorders>
              <w:bottom w:val="single" w:sz="8" w:color="949599"/>
            </w:tcBorders>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1100" w:type="dxa"/>
            <w:vAlign w:val="bottom"/>
          </w:tcPr>
          <w:p>
            <w:pPr>
              <w:spacing w:after="0"/>
              <w:rPr>
                <w:sz w:val="4"/>
                <w:szCs w:val="4"/>
                <w:color w:val="auto"/>
              </w:rPr>
            </w:pPr>
          </w:p>
        </w:tc>
        <w:tc>
          <w:tcPr>
            <w:tcW w:w="3700" w:type="dxa"/>
            <w:vAlign w:val="bottom"/>
          </w:tcPr>
          <w:p>
            <w:pPr>
              <w:spacing w:after="0"/>
              <w:rPr>
                <w:sz w:val="4"/>
                <w:szCs w:val="4"/>
                <w:color w:val="auto"/>
              </w:rPr>
            </w:pPr>
          </w:p>
        </w:tc>
        <w:tc>
          <w:tcPr>
            <w:tcW w:w="1300" w:type="dxa"/>
            <w:vAlign w:val="bottom"/>
            <w:vMerge w:val="restart"/>
          </w:tcPr>
          <w:p>
            <w:pPr>
              <w:ind w:left="540"/>
              <w:spacing w:after="0"/>
              <w:rPr>
                <w:sz w:val="20"/>
                <w:szCs w:val="20"/>
                <w:color w:val="auto"/>
              </w:rPr>
            </w:pPr>
            <w:r>
              <w:rPr>
                <w:rFonts w:ascii="Arial" w:cs="Arial" w:eastAsia="Arial" w:hAnsi="Arial"/>
                <w:sz w:val="18"/>
                <w:szCs w:val="18"/>
                <w:b w:val="1"/>
                <w:bCs w:val="1"/>
                <w:color w:val="00A4E4"/>
              </w:rPr>
              <w:t>FOR</w:t>
            </w: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100" w:type="dxa"/>
            <w:vAlign w:val="bottom"/>
            <w:tcBorders>
              <w:bottom w:val="single" w:sz="8" w:color="009844"/>
            </w:tcBorders>
            <w:shd w:val="clear" w:color="auto" w:fill="009844"/>
          </w:tcPr>
          <w:p>
            <w:pPr>
              <w:ind w:left="80"/>
              <w:spacing w:after="0" w:line="164" w:lineRule="exact"/>
              <w:rPr>
                <w:sz w:val="20"/>
                <w:szCs w:val="20"/>
                <w:color w:val="auto"/>
              </w:rPr>
            </w:pPr>
            <w:r>
              <w:rPr>
                <w:rFonts w:ascii="Arial" w:cs="Arial" w:eastAsia="Arial" w:hAnsi="Arial"/>
                <w:sz w:val="18"/>
                <w:szCs w:val="18"/>
                <w:b w:val="1"/>
                <w:bCs w:val="1"/>
                <w:color w:val="FFFFFF"/>
                <w:shd w:val="clear" w:color="auto" w:fill="009844"/>
              </w:rPr>
              <w:t>Proposal 3.</w:t>
            </w:r>
          </w:p>
        </w:tc>
        <w:tc>
          <w:tcPr>
            <w:tcW w:w="3700" w:type="dxa"/>
            <w:vAlign w:val="bottom"/>
          </w:tcPr>
          <w:p>
            <w:pPr>
              <w:ind w:left="40"/>
              <w:spacing w:after="0"/>
              <w:rPr>
                <w:sz w:val="20"/>
                <w:szCs w:val="20"/>
                <w:color w:val="auto"/>
              </w:rPr>
            </w:pPr>
            <w:r>
              <w:rPr>
                <w:rFonts w:ascii="Arial" w:cs="Arial" w:eastAsia="Arial" w:hAnsi="Arial"/>
                <w:sz w:val="14"/>
                <w:szCs w:val="14"/>
                <w:color w:val="auto"/>
              </w:rPr>
              <w:t>Ratify the appointment of Deloitte &amp; Touche LLP as the</w:t>
            </w:r>
          </w:p>
        </w:tc>
        <w:tc>
          <w:tcPr>
            <w:tcW w:w="1300" w:type="dxa"/>
            <w:vAlign w:val="bottom"/>
            <w:vMerge w:val="continue"/>
          </w:tcPr>
          <w:p>
            <w:pPr>
              <w:spacing w:after="0"/>
              <w:rPr>
                <w:sz w:val="15"/>
                <w:szCs w:val="15"/>
                <w:color w:val="auto"/>
              </w:rPr>
            </w:pPr>
          </w:p>
        </w:tc>
        <w:tc>
          <w:tcPr>
            <w:tcW w:w="1120" w:type="dxa"/>
            <w:vAlign w:val="bottom"/>
          </w:tcPr>
          <w:p>
            <w:pPr>
              <w:ind w:left="40"/>
              <w:spacing w:after="0"/>
              <w:rPr>
                <w:sz w:val="20"/>
                <w:szCs w:val="20"/>
                <w:color w:val="auto"/>
              </w:rPr>
            </w:pPr>
            <w:r>
              <w:rPr>
                <w:rFonts w:ascii="Arial" w:cs="Arial" w:eastAsia="Arial" w:hAnsi="Arial"/>
                <w:sz w:val="14"/>
                <w:szCs w:val="14"/>
                <w:color w:val="auto"/>
              </w:rPr>
              <w:t>Majority of</w:t>
            </w:r>
          </w:p>
        </w:tc>
        <w:tc>
          <w:tcPr>
            <w:tcW w:w="400" w:type="dxa"/>
            <w:vAlign w:val="bottom"/>
          </w:tcPr>
          <w:p>
            <w:pPr>
              <w:ind w:left="4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64"/>
        </w:trPr>
        <w:tc>
          <w:tcPr>
            <w:tcW w:w="4800" w:type="dxa"/>
            <w:vAlign w:val="bottom"/>
            <w:gridSpan w:val="2"/>
          </w:tcPr>
          <w:p>
            <w:pPr>
              <w:spacing w:after="0"/>
              <w:rPr>
                <w:sz w:val="20"/>
                <w:szCs w:val="20"/>
                <w:color w:val="auto"/>
              </w:rPr>
            </w:pPr>
            <w:r>
              <w:rPr>
                <w:rFonts w:ascii="Arial" w:cs="Arial" w:eastAsia="Arial" w:hAnsi="Arial"/>
                <w:sz w:val="14"/>
                <w:szCs w:val="14"/>
                <w:color w:val="auto"/>
              </w:rPr>
              <w:t>Company’s independent registered public accounting firm for the fiscal year</w:t>
            </w:r>
          </w:p>
        </w:tc>
        <w:tc>
          <w:tcPr>
            <w:tcW w:w="1300" w:type="dxa"/>
            <w:vAlign w:val="bottom"/>
          </w:tcPr>
          <w:p>
            <w:pPr>
              <w:spacing w:after="0"/>
              <w:rPr>
                <w:sz w:val="14"/>
                <w:szCs w:val="14"/>
                <w:color w:val="auto"/>
              </w:rPr>
            </w:pPr>
          </w:p>
        </w:tc>
        <w:tc>
          <w:tcPr>
            <w:tcW w:w="1120" w:type="dxa"/>
            <w:vAlign w:val="bottom"/>
          </w:tcPr>
          <w:p>
            <w:pPr>
              <w:ind w:left="40"/>
              <w:spacing w:after="0" w:line="135" w:lineRule="exact"/>
              <w:rPr>
                <w:sz w:val="20"/>
                <w:szCs w:val="20"/>
                <w:color w:val="auto"/>
              </w:rPr>
            </w:pPr>
            <w:r>
              <w:rPr>
                <w:rFonts w:ascii="Arial" w:cs="Arial" w:eastAsia="Arial" w:hAnsi="Arial"/>
                <w:sz w:val="14"/>
                <w:szCs w:val="14"/>
                <w:color w:val="auto"/>
              </w:rPr>
              <w:t>Votes Cast</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-805180</wp:posOffset>
            </wp:positionV>
            <wp:extent cx="160655" cy="1689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60655" cy="168910"/>
                    </a:xfrm>
                    <a:prstGeom prst="rect">
                      <a:avLst/>
                    </a:prstGeom>
                    <a:noFill/>
                  </pic:spPr>
                </pic:pic>
              </a:graphicData>
            </a:graphic>
          </wp:anchor>
        </w:drawing>
        <w:drawing>
          <wp:anchor simplePos="0" relativeHeight="251657728" behindDoc="1" locked="0" layoutInCell="0" allowOverlap="1">
            <wp:simplePos x="0" y="0"/>
            <wp:positionH relativeFrom="column">
              <wp:posOffset>3085465</wp:posOffset>
            </wp:positionH>
            <wp:positionV relativeFrom="paragraph">
              <wp:posOffset>-518160</wp:posOffset>
            </wp:positionV>
            <wp:extent cx="160655" cy="1689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60655" cy="168910"/>
                    </a:xfrm>
                    <a:prstGeom prst="rect">
                      <a:avLst/>
                    </a:prstGeom>
                    <a:noFill/>
                  </pic:spPr>
                </pic:pic>
              </a:graphicData>
            </a:graphic>
          </wp:anchor>
        </w:drawing>
        <w:drawing>
          <wp:anchor simplePos="0" relativeHeight="251657728" behindDoc="1" locked="0" layoutInCell="0" allowOverlap="1">
            <wp:simplePos x="0" y="0"/>
            <wp:positionH relativeFrom="column">
              <wp:posOffset>3085465</wp:posOffset>
            </wp:positionH>
            <wp:positionV relativeFrom="paragraph">
              <wp:posOffset>-230505</wp:posOffset>
            </wp:positionV>
            <wp:extent cx="160655" cy="16891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60655" cy="16891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ending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48437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843780" cy="8255"/>
                    </a:xfrm>
                    <a:prstGeom prst="rect">
                      <a:avLst/>
                    </a:prstGeom>
                    <a:noFill/>
                  </pic:spPr>
                </pic:pic>
              </a:graphicData>
            </a:graphic>
          </wp:anchor>
        </w:drawing>
      </w:r>
    </w:p>
    <w:p>
      <w:pPr>
        <w:spacing w:after="0" w:line="162" w:lineRule="exact"/>
        <w:rPr>
          <w:sz w:val="20"/>
          <w:szCs w:val="20"/>
          <w:color w:val="auto"/>
        </w:rPr>
      </w:pPr>
    </w:p>
    <w:p>
      <w:pPr>
        <w:ind w:right="480"/>
        <w:spacing w:after="0" w:line="254" w:lineRule="auto"/>
        <w:rPr>
          <w:sz w:val="20"/>
          <w:szCs w:val="20"/>
          <w:color w:val="auto"/>
        </w:rPr>
      </w:pPr>
      <w:r>
        <w:rPr>
          <w:rFonts w:ascii="Arial" w:cs="Arial" w:eastAsia="Arial" w:hAnsi="Arial"/>
          <w:sz w:val="16"/>
          <w:szCs w:val="16"/>
          <w:color w:val="auto"/>
        </w:rPr>
        <w:t>Shareholders will also attend to such other business as may properly come before the meeting or any postponement or adjournment of the meeting.</w:t>
      </w:r>
    </w:p>
    <w:p>
      <w:pPr>
        <w:spacing w:after="0" w:line="190" w:lineRule="exact"/>
        <w:rPr>
          <w:sz w:val="20"/>
          <w:szCs w:val="20"/>
          <w:color w:val="auto"/>
        </w:rPr>
      </w:pPr>
    </w:p>
    <w:p>
      <w:pPr>
        <w:spacing w:after="0"/>
        <w:rPr>
          <w:sz w:val="20"/>
          <w:szCs w:val="20"/>
          <w:color w:val="auto"/>
        </w:rPr>
      </w:pPr>
      <w:r>
        <w:rPr>
          <w:rFonts w:ascii="Arial" w:cs="Arial" w:eastAsia="Arial" w:hAnsi="Arial"/>
          <w:sz w:val="28"/>
          <w:szCs w:val="28"/>
          <w:color w:val="00A4E4"/>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48520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852035" cy="8255"/>
                    </a:xfrm>
                    <a:prstGeom prst="rect">
                      <a:avLst/>
                    </a:prstGeom>
                    <a:noFill/>
                  </pic:spPr>
                </pic:pic>
              </a:graphicData>
            </a:graphic>
          </wp:anchor>
        </w:drawing>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Shareholders of Record (shares registered in your name with the Company’s transfer agent) and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Retirement Savings Plan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135255</wp:posOffset>
            </wp:positionV>
            <wp:extent cx="295910" cy="2533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95910" cy="253365"/>
                    </a:xfrm>
                    <a:prstGeom prst="rect">
                      <a:avLst/>
                    </a:prstGeom>
                    <a:noFill/>
                  </pic:spPr>
                </pic:pic>
              </a:graphicData>
            </a:graphic>
          </wp:anchor>
        </w:drawing>
        <w:drawing>
          <wp:anchor simplePos="0" relativeHeight="251657728" behindDoc="1" locked="0" layoutInCell="0" allowOverlap="1">
            <wp:simplePos x="0" y="0"/>
            <wp:positionH relativeFrom="column">
              <wp:posOffset>1031875</wp:posOffset>
            </wp:positionH>
            <wp:positionV relativeFrom="paragraph">
              <wp:posOffset>101600</wp:posOffset>
            </wp:positionV>
            <wp:extent cx="211455" cy="32131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11455" cy="321310"/>
                    </a:xfrm>
                    <a:prstGeom prst="rect">
                      <a:avLst/>
                    </a:prstGeom>
                    <a:noFill/>
                  </pic:spPr>
                </pic:pic>
              </a:graphicData>
            </a:graphic>
          </wp:anchor>
        </w:drawing>
        <w:drawing>
          <wp:anchor simplePos="0" relativeHeight="251657728" behindDoc="1" locked="0" layoutInCell="0" allowOverlap="1">
            <wp:simplePos x="0" y="0"/>
            <wp:positionH relativeFrom="column">
              <wp:posOffset>2012315</wp:posOffset>
            </wp:positionH>
            <wp:positionV relativeFrom="paragraph">
              <wp:posOffset>152400</wp:posOffset>
            </wp:positionV>
            <wp:extent cx="253365" cy="21971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53365" cy="219710"/>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152400</wp:posOffset>
            </wp:positionV>
            <wp:extent cx="295910" cy="2114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95910" cy="2114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110490</wp:posOffset>
            </wp:positionV>
            <wp:extent cx="295910" cy="3041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95910" cy="30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520" w:type="dxa"/>
            <w:vAlign w:val="bottom"/>
          </w:tcPr>
          <w:p>
            <w:pPr>
              <w:spacing w:after="0"/>
              <w:rPr>
                <w:sz w:val="20"/>
                <w:szCs w:val="20"/>
                <w:color w:val="auto"/>
              </w:rPr>
            </w:pPr>
            <w:r>
              <w:rPr>
                <w:rFonts w:ascii="Arial" w:cs="Arial" w:eastAsia="Arial" w:hAnsi="Arial"/>
                <w:sz w:val="16"/>
                <w:szCs w:val="16"/>
                <w:b w:val="1"/>
                <w:bCs w:val="1"/>
                <w:color w:val="00A4E4"/>
              </w:rPr>
              <w:t>Internet</w:t>
            </w:r>
          </w:p>
        </w:tc>
        <w:tc>
          <w:tcPr>
            <w:tcW w:w="1540" w:type="dxa"/>
            <w:vAlign w:val="bottom"/>
          </w:tcPr>
          <w:p>
            <w:pPr>
              <w:ind w:left="100"/>
              <w:spacing w:after="0"/>
              <w:rPr>
                <w:sz w:val="20"/>
                <w:szCs w:val="20"/>
                <w:color w:val="auto"/>
              </w:rPr>
            </w:pPr>
            <w:r>
              <w:rPr>
                <w:rFonts w:ascii="Arial" w:cs="Arial" w:eastAsia="Arial" w:hAnsi="Arial"/>
                <w:sz w:val="16"/>
                <w:szCs w:val="16"/>
                <w:b w:val="1"/>
                <w:bCs w:val="1"/>
                <w:color w:val="00A4E4"/>
              </w:rPr>
              <w:t>Mobile Device</w:t>
            </w:r>
          </w:p>
        </w:tc>
        <w:tc>
          <w:tcPr>
            <w:tcW w:w="1420" w:type="dxa"/>
            <w:vAlign w:val="bottom"/>
          </w:tcPr>
          <w:p>
            <w:pPr>
              <w:ind w:left="120"/>
              <w:spacing w:after="0"/>
              <w:rPr>
                <w:sz w:val="20"/>
                <w:szCs w:val="20"/>
                <w:color w:val="auto"/>
              </w:rPr>
            </w:pPr>
            <w:r>
              <w:rPr>
                <w:rFonts w:ascii="Arial" w:cs="Arial" w:eastAsia="Arial" w:hAnsi="Arial"/>
                <w:sz w:val="16"/>
                <w:szCs w:val="16"/>
                <w:b w:val="1"/>
                <w:bCs w:val="1"/>
                <w:color w:val="00A4E4"/>
              </w:rPr>
              <w:t>Telephone</w:t>
            </w:r>
          </w:p>
        </w:tc>
        <w:tc>
          <w:tcPr>
            <w:tcW w:w="1540" w:type="dxa"/>
            <w:vAlign w:val="bottom"/>
          </w:tcPr>
          <w:p>
            <w:pPr>
              <w:ind w:left="160"/>
              <w:spacing w:after="0"/>
              <w:rPr>
                <w:sz w:val="20"/>
                <w:szCs w:val="20"/>
                <w:color w:val="auto"/>
              </w:rPr>
            </w:pPr>
            <w:r>
              <w:rPr>
                <w:rFonts w:ascii="Arial" w:cs="Arial" w:eastAsia="Arial" w:hAnsi="Arial"/>
                <w:sz w:val="16"/>
                <w:szCs w:val="16"/>
                <w:b w:val="1"/>
                <w:bCs w:val="1"/>
                <w:color w:val="00A4E4"/>
              </w:rPr>
              <w:t>Mail</w:t>
            </w:r>
          </w:p>
        </w:tc>
        <w:tc>
          <w:tcPr>
            <w:tcW w:w="1600" w:type="dxa"/>
            <w:vAlign w:val="bottom"/>
          </w:tcPr>
          <w:p>
            <w:pPr>
              <w:ind w:left="160"/>
              <w:spacing w:after="0"/>
              <w:rPr>
                <w:sz w:val="20"/>
                <w:szCs w:val="20"/>
                <w:color w:val="auto"/>
              </w:rPr>
            </w:pPr>
            <w:r>
              <w:rPr>
                <w:rFonts w:ascii="Arial" w:cs="Arial" w:eastAsia="Arial" w:hAnsi="Arial"/>
                <w:sz w:val="16"/>
                <w:szCs w:val="16"/>
                <w:b w:val="1"/>
                <w:bCs w:val="1"/>
                <w:color w:val="00A4E4"/>
              </w:rPr>
              <w:t>Vote Online</w:t>
            </w:r>
          </w:p>
        </w:tc>
        <w:tc>
          <w:tcPr>
            <w:tcW w:w="0" w:type="dxa"/>
            <w:vAlign w:val="bottom"/>
          </w:tcPr>
          <w:p>
            <w:pPr>
              <w:spacing w:after="0"/>
              <w:rPr>
                <w:sz w:val="1"/>
                <w:szCs w:val="1"/>
                <w:color w:val="auto"/>
              </w:rPr>
            </w:pPr>
          </w:p>
        </w:tc>
      </w:tr>
      <w:tr>
        <w:trPr>
          <w:trHeight w:val="206"/>
        </w:trPr>
        <w:tc>
          <w:tcPr>
            <w:tcW w:w="1520" w:type="dxa"/>
            <w:vAlign w:val="bottom"/>
            <w:vMerge w:val="restart"/>
          </w:tcPr>
          <w:p>
            <w:pPr>
              <w:spacing w:after="0"/>
              <w:rPr>
                <w:sz w:val="20"/>
                <w:szCs w:val="20"/>
                <w:color w:val="auto"/>
              </w:rPr>
            </w:pPr>
            <w:r>
              <w:rPr>
                <w:rFonts w:ascii="Arial" w:cs="Arial" w:eastAsia="Arial" w:hAnsi="Arial"/>
                <w:sz w:val="16"/>
                <w:szCs w:val="16"/>
                <w:i w:val="1"/>
                <w:iCs w:val="1"/>
                <w:color w:val="009A4B"/>
              </w:rPr>
              <w:t>www.proxyvote.com</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0" w:type="dxa"/>
            <w:vAlign w:val="bottom"/>
          </w:tcPr>
          <w:p>
            <w:pPr>
              <w:ind w:left="160"/>
              <w:spacing w:after="0"/>
              <w:rPr>
                <w:sz w:val="20"/>
                <w:szCs w:val="20"/>
                <w:color w:val="auto"/>
              </w:rPr>
            </w:pPr>
            <w:r>
              <w:rPr>
                <w:rFonts w:ascii="Arial" w:cs="Arial" w:eastAsia="Arial" w:hAnsi="Arial"/>
                <w:sz w:val="16"/>
                <w:szCs w:val="16"/>
                <w:b w:val="1"/>
                <w:bCs w:val="1"/>
                <w:color w:val="00A4E4"/>
                <w:w w:val="97"/>
              </w:rPr>
              <w:t>During the Meeting</w:t>
            </w:r>
          </w:p>
        </w:tc>
        <w:tc>
          <w:tcPr>
            <w:tcW w:w="0" w:type="dxa"/>
            <w:vAlign w:val="bottom"/>
          </w:tcPr>
          <w:p>
            <w:pPr>
              <w:spacing w:after="0"/>
              <w:rPr>
                <w:sz w:val="1"/>
                <w:szCs w:val="1"/>
                <w:color w:val="auto"/>
              </w:rPr>
            </w:pPr>
          </w:p>
        </w:tc>
      </w:tr>
      <w:tr>
        <w:trPr>
          <w:trHeight w:val="186"/>
        </w:trPr>
        <w:tc>
          <w:tcPr>
            <w:tcW w:w="1520" w:type="dxa"/>
            <w:vAlign w:val="bottom"/>
            <w:vMerge w:val="continue"/>
          </w:tcPr>
          <w:p>
            <w:pPr>
              <w:spacing w:after="0"/>
              <w:rPr>
                <w:sz w:val="16"/>
                <w:szCs w:val="16"/>
                <w:color w:val="auto"/>
              </w:rPr>
            </w:pPr>
          </w:p>
        </w:tc>
        <w:tc>
          <w:tcPr>
            <w:tcW w:w="1540" w:type="dxa"/>
            <w:vAlign w:val="bottom"/>
          </w:tcPr>
          <w:p>
            <w:pPr>
              <w:ind w:left="100"/>
              <w:spacing w:after="0"/>
              <w:rPr>
                <w:sz w:val="20"/>
                <w:szCs w:val="20"/>
                <w:color w:val="auto"/>
              </w:rPr>
            </w:pPr>
            <w:r>
              <w:rPr>
                <w:rFonts w:ascii="Arial" w:cs="Arial" w:eastAsia="Arial" w:hAnsi="Arial"/>
                <w:sz w:val="16"/>
                <w:szCs w:val="16"/>
                <w:color w:val="auto"/>
              </w:rPr>
              <w:t>Scan the QR Code</w:t>
            </w:r>
          </w:p>
        </w:tc>
        <w:tc>
          <w:tcPr>
            <w:tcW w:w="1420" w:type="dxa"/>
            <w:vAlign w:val="bottom"/>
          </w:tcPr>
          <w:p>
            <w:pPr>
              <w:ind w:left="120"/>
              <w:spacing w:after="0"/>
              <w:rPr>
                <w:sz w:val="20"/>
                <w:szCs w:val="20"/>
                <w:color w:val="auto"/>
              </w:rPr>
            </w:pPr>
            <w:r>
              <w:rPr>
                <w:rFonts w:ascii="Arial" w:cs="Arial" w:eastAsia="Arial" w:hAnsi="Arial"/>
                <w:sz w:val="16"/>
                <w:szCs w:val="16"/>
                <w:color w:val="auto"/>
              </w:rPr>
              <w:t>1-800-690-6903</w:t>
            </w:r>
          </w:p>
        </w:tc>
        <w:tc>
          <w:tcPr>
            <w:tcW w:w="1540" w:type="dxa"/>
            <w:vAlign w:val="bottom"/>
          </w:tcPr>
          <w:p>
            <w:pPr>
              <w:ind w:left="160"/>
              <w:spacing w:after="0"/>
              <w:rPr>
                <w:sz w:val="20"/>
                <w:szCs w:val="20"/>
                <w:color w:val="auto"/>
              </w:rPr>
            </w:pPr>
            <w:r>
              <w:rPr>
                <w:rFonts w:ascii="Arial" w:cs="Arial" w:eastAsia="Arial" w:hAnsi="Arial"/>
                <w:sz w:val="16"/>
                <w:szCs w:val="16"/>
                <w:color w:val="auto"/>
              </w:rPr>
              <w:t>Complete, sign</w:t>
            </w:r>
          </w:p>
        </w:tc>
        <w:tc>
          <w:tcPr>
            <w:tcW w:w="1600" w:type="dxa"/>
            <w:vAlign w:val="bottom"/>
          </w:tcPr>
          <w:p>
            <w:pPr>
              <w:ind w:left="160"/>
              <w:spacing w:after="0"/>
              <w:rPr>
                <w:sz w:val="20"/>
                <w:szCs w:val="20"/>
                <w:color w:val="auto"/>
              </w:rPr>
            </w:pPr>
            <w:r>
              <w:rPr>
                <w:rFonts w:ascii="Arial" w:cs="Arial" w:eastAsia="Arial" w:hAnsi="Arial"/>
                <w:sz w:val="16"/>
                <w:szCs w:val="16"/>
                <w:color w:val="auto"/>
              </w:rPr>
              <w:t>For instructions on</w:t>
            </w:r>
          </w:p>
        </w:tc>
        <w:tc>
          <w:tcPr>
            <w:tcW w:w="0" w:type="dxa"/>
            <w:vAlign w:val="bottom"/>
          </w:tcPr>
          <w:p>
            <w:pPr>
              <w:spacing w:after="0"/>
              <w:rPr>
                <w:sz w:val="1"/>
                <w:szCs w:val="1"/>
                <w:color w:val="auto"/>
              </w:rPr>
            </w:pPr>
          </w:p>
        </w:tc>
      </w:tr>
      <w:tr>
        <w:trPr>
          <w:trHeight w:val="186"/>
        </w:trPr>
        <w:tc>
          <w:tcPr>
            <w:tcW w:w="1520" w:type="dxa"/>
            <w:vAlign w:val="bottom"/>
          </w:tcPr>
          <w:p>
            <w:pPr>
              <w:spacing w:after="0"/>
              <w:rPr>
                <w:sz w:val="16"/>
                <w:szCs w:val="16"/>
                <w:color w:val="auto"/>
              </w:rPr>
            </w:pPr>
          </w:p>
        </w:tc>
        <w:tc>
          <w:tcPr>
            <w:tcW w:w="1540" w:type="dxa"/>
            <w:vAlign w:val="bottom"/>
          </w:tcPr>
          <w:p>
            <w:pPr>
              <w:ind w:left="100"/>
              <w:spacing w:after="0"/>
              <w:rPr>
                <w:sz w:val="20"/>
                <w:szCs w:val="20"/>
                <w:color w:val="auto"/>
              </w:rPr>
            </w:pPr>
            <w:r>
              <w:rPr>
                <w:rFonts w:ascii="Arial" w:cs="Arial" w:eastAsia="Arial" w:hAnsi="Arial"/>
                <w:sz w:val="16"/>
                <w:szCs w:val="16"/>
                <w:color w:val="auto"/>
              </w:rPr>
              <w:t>to vote using</w:t>
            </w:r>
          </w:p>
        </w:tc>
        <w:tc>
          <w:tcPr>
            <w:tcW w:w="1420" w:type="dxa"/>
            <w:vAlign w:val="bottom"/>
          </w:tcPr>
          <w:p>
            <w:pPr>
              <w:spacing w:after="0"/>
              <w:rPr>
                <w:sz w:val="16"/>
                <w:szCs w:val="16"/>
                <w:color w:val="auto"/>
              </w:rPr>
            </w:pPr>
          </w:p>
        </w:tc>
        <w:tc>
          <w:tcPr>
            <w:tcW w:w="1540" w:type="dxa"/>
            <w:vAlign w:val="bottom"/>
          </w:tcPr>
          <w:p>
            <w:pPr>
              <w:ind w:left="160"/>
              <w:spacing w:after="0"/>
              <w:rPr>
                <w:sz w:val="20"/>
                <w:szCs w:val="20"/>
                <w:color w:val="auto"/>
              </w:rPr>
            </w:pPr>
            <w:r>
              <w:rPr>
                <w:rFonts w:ascii="Arial" w:cs="Arial" w:eastAsia="Arial" w:hAnsi="Arial"/>
                <w:sz w:val="16"/>
                <w:szCs w:val="16"/>
                <w:color w:val="auto"/>
              </w:rPr>
              <w:t>and mail your</w:t>
            </w:r>
          </w:p>
        </w:tc>
        <w:tc>
          <w:tcPr>
            <w:tcW w:w="1600" w:type="dxa"/>
            <w:vAlign w:val="bottom"/>
          </w:tcPr>
          <w:p>
            <w:pPr>
              <w:ind w:left="160"/>
              <w:spacing w:after="0"/>
              <w:rPr>
                <w:sz w:val="20"/>
                <w:szCs w:val="20"/>
                <w:color w:val="auto"/>
              </w:rPr>
            </w:pPr>
            <w:r>
              <w:rPr>
                <w:rFonts w:ascii="Arial" w:cs="Arial" w:eastAsia="Arial" w:hAnsi="Arial"/>
                <w:sz w:val="16"/>
                <w:szCs w:val="16"/>
                <w:color w:val="auto"/>
              </w:rPr>
              <w:t>voting during the</w:t>
            </w:r>
          </w:p>
        </w:tc>
        <w:tc>
          <w:tcPr>
            <w:tcW w:w="0" w:type="dxa"/>
            <w:vAlign w:val="bottom"/>
          </w:tcPr>
          <w:p>
            <w:pPr>
              <w:spacing w:after="0"/>
              <w:rPr>
                <w:sz w:val="1"/>
                <w:szCs w:val="1"/>
                <w:color w:val="auto"/>
              </w:rPr>
            </w:pPr>
          </w:p>
        </w:tc>
      </w:tr>
      <w:tr>
        <w:trPr>
          <w:trHeight w:val="186"/>
        </w:trPr>
        <w:tc>
          <w:tcPr>
            <w:tcW w:w="15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40" w:type="dxa"/>
            <w:vAlign w:val="bottom"/>
          </w:tcPr>
          <w:p>
            <w:pPr>
              <w:ind w:left="160"/>
              <w:spacing w:after="0"/>
              <w:rPr>
                <w:sz w:val="20"/>
                <w:szCs w:val="20"/>
                <w:color w:val="auto"/>
              </w:rPr>
            </w:pPr>
            <w:r>
              <w:rPr>
                <w:rFonts w:ascii="Arial" w:cs="Arial" w:eastAsia="Arial" w:hAnsi="Arial"/>
                <w:sz w:val="16"/>
                <w:szCs w:val="16"/>
                <w:color w:val="auto"/>
              </w:rPr>
              <w:t>proxy card or</w:t>
            </w:r>
          </w:p>
        </w:tc>
        <w:tc>
          <w:tcPr>
            <w:tcW w:w="1600" w:type="dxa"/>
            <w:vAlign w:val="bottom"/>
          </w:tcPr>
          <w:p>
            <w:pPr>
              <w:ind w:left="160"/>
              <w:spacing w:after="0"/>
              <w:rPr>
                <w:sz w:val="20"/>
                <w:szCs w:val="20"/>
                <w:color w:val="auto"/>
              </w:rPr>
            </w:pPr>
            <w:r>
              <w:rPr>
                <w:rFonts w:ascii="Arial" w:cs="Arial" w:eastAsia="Arial" w:hAnsi="Arial"/>
                <w:sz w:val="16"/>
                <w:szCs w:val="16"/>
                <w:color w:val="auto"/>
              </w:rPr>
              <w:t>meeting please see</w:t>
            </w:r>
          </w:p>
        </w:tc>
        <w:tc>
          <w:tcPr>
            <w:tcW w:w="0" w:type="dxa"/>
            <w:vAlign w:val="bottom"/>
          </w:tcPr>
          <w:p>
            <w:pPr>
              <w:spacing w:after="0"/>
              <w:rPr>
                <w:sz w:val="1"/>
                <w:szCs w:val="1"/>
                <w:color w:val="auto"/>
              </w:rPr>
            </w:pPr>
          </w:p>
        </w:tc>
      </w:tr>
      <w:tr>
        <w:trPr>
          <w:trHeight w:val="186"/>
        </w:trPr>
        <w:tc>
          <w:tcPr>
            <w:tcW w:w="15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40" w:type="dxa"/>
            <w:vAlign w:val="bottom"/>
          </w:tcPr>
          <w:p>
            <w:pPr>
              <w:ind w:left="160"/>
              <w:spacing w:after="0"/>
              <w:rPr>
                <w:sz w:val="20"/>
                <w:szCs w:val="20"/>
                <w:color w:val="auto"/>
              </w:rPr>
            </w:pPr>
            <w:r>
              <w:rPr>
                <w:rFonts w:ascii="Arial" w:cs="Arial" w:eastAsia="Arial" w:hAnsi="Arial"/>
                <w:sz w:val="16"/>
                <w:szCs w:val="16"/>
                <w:color w:val="auto"/>
              </w:rPr>
              <w:t>voting instruction</w:t>
            </w:r>
          </w:p>
        </w:tc>
        <w:tc>
          <w:tcPr>
            <w:tcW w:w="1600" w:type="dxa"/>
            <w:vAlign w:val="bottom"/>
          </w:tcPr>
          <w:p>
            <w:pPr>
              <w:ind w:left="160"/>
              <w:spacing w:after="0"/>
              <w:rPr>
                <w:sz w:val="20"/>
                <w:szCs w:val="20"/>
                <w:color w:val="auto"/>
              </w:rPr>
            </w:pPr>
            <w:r>
              <w:rPr>
                <w:rFonts w:ascii="Arial" w:cs="Arial" w:eastAsia="Arial" w:hAnsi="Arial"/>
                <w:sz w:val="16"/>
                <w:szCs w:val="16"/>
                <w:color w:val="auto"/>
              </w:rPr>
              <w:t>page 69.</w:t>
            </w:r>
          </w:p>
        </w:tc>
        <w:tc>
          <w:tcPr>
            <w:tcW w:w="0" w:type="dxa"/>
            <w:vAlign w:val="bottom"/>
          </w:tcPr>
          <w:p>
            <w:pPr>
              <w:spacing w:after="0"/>
              <w:rPr>
                <w:sz w:val="1"/>
                <w:szCs w:val="1"/>
                <w:color w:val="auto"/>
              </w:rPr>
            </w:pPr>
          </w:p>
        </w:tc>
      </w:tr>
      <w:tr>
        <w:trPr>
          <w:trHeight w:val="186"/>
        </w:trPr>
        <w:tc>
          <w:tcPr>
            <w:tcW w:w="15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40" w:type="dxa"/>
            <w:vAlign w:val="bottom"/>
          </w:tcPr>
          <w:p>
            <w:pPr>
              <w:ind w:left="160"/>
              <w:spacing w:after="0"/>
              <w:rPr>
                <w:sz w:val="20"/>
                <w:szCs w:val="20"/>
                <w:color w:val="auto"/>
              </w:rPr>
            </w:pPr>
            <w:r>
              <w:rPr>
                <w:rFonts w:ascii="Arial" w:cs="Arial" w:eastAsia="Arial" w:hAnsi="Arial"/>
                <w:sz w:val="16"/>
                <w:szCs w:val="16"/>
                <w:color w:val="auto"/>
              </w:rPr>
              <w:t>form in the self-</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5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40" w:type="dxa"/>
            <w:vAlign w:val="bottom"/>
          </w:tcPr>
          <w:p>
            <w:pPr>
              <w:ind w:left="160"/>
              <w:spacing w:after="0"/>
              <w:rPr>
                <w:sz w:val="20"/>
                <w:szCs w:val="20"/>
                <w:color w:val="auto"/>
              </w:rPr>
            </w:pPr>
            <w:r>
              <w:rPr>
                <w:rFonts w:ascii="Arial" w:cs="Arial" w:eastAsia="Arial" w:hAnsi="Arial"/>
                <w:sz w:val="16"/>
                <w:szCs w:val="16"/>
                <w:color w:val="auto"/>
              </w:rPr>
              <w:t>addressed</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5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40" w:type="dxa"/>
            <w:vAlign w:val="bottom"/>
          </w:tcPr>
          <w:p>
            <w:pPr>
              <w:ind w:left="160"/>
              <w:spacing w:after="0"/>
              <w:rPr>
                <w:sz w:val="20"/>
                <w:szCs w:val="20"/>
                <w:color w:val="auto"/>
              </w:rPr>
            </w:pPr>
            <w:r>
              <w:rPr>
                <w:rFonts w:ascii="Arial" w:cs="Arial" w:eastAsia="Arial" w:hAnsi="Arial"/>
                <w:sz w:val="16"/>
                <w:szCs w:val="16"/>
                <w:color w:val="auto"/>
              </w:rPr>
              <w:t>envelope</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520" w:type="dxa"/>
            <w:vAlign w:val="bottom"/>
            <w:tcBorders>
              <w:bottom w:val="single" w:sz="8" w:color="00A4E4"/>
            </w:tcBorders>
          </w:tcPr>
          <w:p>
            <w:pPr>
              <w:spacing w:after="0"/>
              <w:rPr>
                <w:sz w:val="17"/>
                <w:szCs w:val="17"/>
                <w:color w:val="auto"/>
              </w:rPr>
            </w:pPr>
          </w:p>
        </w:tc>
        <w:tc>
          <w:tcPr>
            <w:tcW w:w="1540" w:type="dxa"/>
            <w:vAlign w:val="bottom"/>
            <w:tcBorders>
              <w:bottom w:val="single" w:sz="8" w:color="00A4E4"/>
            </w:tcBorders>
          </w:tcPr>
          <w:p>
            <w:pPr>
              <w:spacing w:after="0"/>
              <w:rPr>
                <w:sz w:val="17"/>
                <w:szCs w:val="17"/>
                <w:color w:val="auto"/>
              </w:rPr>
            </w:pPr>
          </w:p>
        </w:tc>
        <w:tc>
          <w:tcPr>
            <w:tcW w:w="1420" w:type="dxa"/>
            <w:vAlign w:val="bottom"/>
            <w:tcBorders>
              <w:bottom w:val="single" w:sz="8" w:color="00A4E4"/>
            </w:tcBorders>
          </w:tcPr>
          <w:p>
            <w:pPr>
              <w:spacing w:after="0"/>
              <w:rPr>
                <w:sz w:val="17"/>
                <w:szCs w:val="17"/>
                <w:color w:val="auto"/>
              </w:rPr>
            </w:pPr>
          </w:p>
        </w:tc>
        <w:tc>
          <w:tcPr>
            <w:tcW w:w="1540" w:type="dxa"/>
            <w:vAlign w:val="bottom"/>
            <w:tcBorders>
              <w:bottom w:val="single" w:sz="8" w:color="00A4E4"/>
            </w:tcBorders>
          </w:tcPr>
          <w:p>
            <w:pPr>
              <w:ind w:left="160"/>
              <w:spacing w:after="0"/>
              <w:rPr>
                <w:sz w:val="20"/>
                <w:szCs w:val="20"/>
                <w:color w:val="auto"/>
              </w:rPr>
            </w:pPr>
            <w:r>
              <w:rPr>
                <w:rFonts w:ascii="Arial" w:cs="Arial" w:eastAsia="Arial" w:hAnsi="Arial"/>
                <w:sz w:val="16"/>
                <w:szCs w:val="16"/>
                <w:color w:val="auto"/>
              </w:rPr>
              <w:t>provided.</w:t>
            </w:r>
          </w:p>
        </w:tc>
        <w:tc>
          <w:tcPr>
            <w:tcW w:w="1600" w:type="dxa"/>
            <w:vAlign w:val="bottom"/>
            <w:tcBorders>
              <w:bottom w:val="single" w:sz="8" w:color="00A4E4"/>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1031875</wp:posOffset>
            </wp:positionH>
            <wp:positionV relativeFrom="paragraph">
              <wp:posOffset>-633095</wp:posOffset>
            </wp:positionV>
            <wp:extent cx="507365" cy="5073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07365" cy="507365"/>
                    </a:xfrm>
                    <a:prstGeom prst="rect">
                      <a:avLst/>
                    </a:prstGeom>
                    <a:noFill/>
                  </pic:spPr>
                </pic:pic>
              </a:graphicData>
            </a:graphic>
          </wp:anchor>
        </w:drawing>
      </w:r>
    </w:p>
    <w:p>
      <w:pPr>
        <w:spacing w:after="0" w:line="108"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b w:val="1"/>
          <w:bCs w:val="1"/>
          <w:color w:val="auto"/>
        </w:rPr>
        <w:t xml:space="preserve">Street Name Holders </w:t>
      </w:r>
      <w:r>
        <w:rPr>
          <w:rFonts w:ascii="Arial" w:cs="Arial" w:eastAsia="Arial" w:hAnsi="Arial"/>
          <w:sz w:val="16"/>
          <w:szCs w:val="16"/>
          <w:color w:val="auto"/>
        </w:rPr>
        <w:t>(shares held through a broker, bank or other nominee): refer to the voting instruction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form provided by your broker, bank or other nominee.</w:t>
      </w:r>
    </w:p>
    <w:p>
      <w:pPr>
        <w:spacing w:after="0" w:line="171" w:lineRule="exact"/>
        <w:rPr>
          <w:sz w:val="20"/>
          <w:szCs w:val="20"/>
          <w:color w:val="auto"/>
        </w:rPr>
      </w:pPr>
    </w:p>
    <w:p>
      <w:pPr>
        <w:spacing w:after="0"/>
        <w:rPr>
          <w:sz w:val="20"/>
          <w:szCs w:val="20"/>
          <w:color w:val="auto"/>
        </w:rPr>
      </w:pPr>
      <w:r>
        <w:rPr>
          <w:rFonts w:ascii="Arial" w:cs="Arial" w:eastAsia="Arial" w:hAnsi="Arial"/>
          <w:sz w:val="28"/>
          <w:szCs w:val="28"/>
          <w:color w:val="00A4E4"/>
        </w:rPr>
        <w:t>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48520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852035" cy="8255"/>
                    </a:xfrm>
                    <a:prstGeom prst="rect">
                      <a:avLst/>
                    </a:prstGeom>
                    <a:noFill/>
                  </pic:spPr>
                </pic:pic>
              </a:graphicData>
            </a:graphic>
          </wp:anchor>
        </w:drawing>
      </w:r>
    </w:p>
    <w:p>
      <w:pPr>
        <w:spacing w:after="0" w:line="11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Whether you plan to attend the meeting or not, please submit your proxy as soon as possible in order to avoid additional soliciting expense to the Company. The proxy is revocable and will not affect your right to vote if you attend the meeting.</w:t>
      </w:r>
    </w:p>
    <w:p>
      <w:pPr>
        <w:spacing w:after="0" w:line="148"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3584575</wp:posOffset>
            </wp:positionH>
            <wp:positionV relativeFrom="paragraph">
              <wp:posOffset>109220</wp:posOffset>
            </wp:positionV>
            <wp:extent cx="1268095" cy="4229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68095" cy="422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580"/>
        <w:spacing w:after="0"/>
        <w:rPr>
          <w:sz w:val="20"/>
          <w:szCs w:val="20"/>
          <w:color w:val="auto"/>
        </w:rPr>
      </w:pPr>
      <w:r>
        <w:rPr>
          <w:rFonts w:ascii="Arial" w:cs="Arial" w:eastAsia="Arial" w:hAnsi="Arial"/>
          <w:sz w:val="16"/>
          <w:szCs w:val="16"/>
          <w:b w:val="1"/>
          <w:bCs w:val="1"/>
          <w:color w:val="009A4B"/>
        </w:rPr>
        <w:t>Sean D. Major</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Executive Vice President, General Counsel and Secretary</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December 15, 2021</w:t>
      </w:r>
    </w:p>
    <w:p>
      <w:pPr>
        <w:spacing w:after="0" w:line="200" w:lineRule="exact"/>
        <w:rPr>
          <w:sz w:val="20"/>
          <w:szCs w:val="20"/>
          <w:color w:val="auto"/>
        </w:rPr>
      </w:pPr>
    </w:p>
    <w:p>
      <w:pPr>
        <w:sectPr>
          <w:pgSz w:w="11900" w:h="16838" w:orient="portrait"/>
          <w:cols w:equalWidth="0" w:num="2">
            <w:col w:w="2980" w:space="620"/>
            <w:col w:w="7640"/>
          </w:cols>
          <w:pgMar w:left="320" w:top="140" w:right="3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140970</wp:posOffset>
            </wp:positionV>
            <wp:extent cx="7155180" cy="209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134225" cy="13271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4225" cy="132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
        <w:spacing w:after="0"/>
        <w:rPr>
          <w:sz w:val="20"/>
          <w:szCs w:val="20"/>
          <w:color w:val="auto"/>
        </w:rPr>
      </w:pPr>
      <w:r>
        <w:rPr>
          <w:rFonts w:ascii="Arial" w:cs="Arial" w:eastAsia="Arial" w:hAnsi="Arial"/>
          <w:sz w:val="44"/>
          <w:szCs w:val="44"/>
          <w:b w:val="1"/>
          <w:bCs w:val="1"/>
          <w:color w:val="009A4B"/>
        </w:rPr>
        <w:t>Fiscal 2021 Performance Overview</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8"/>
          <w:szCs w:val="28"/>
          <w:b w:val="1"/>
          <w:bCs w:val="1"/>
          <w:color w:val="00A4E4"/>
        </w:rPr>
        <w:t>Our Higher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71342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99" w:lineRule="exact"/>
        <w:rPr>
          <w:sz w:val="20"/>
          <w:szCs w:val="20"/>
          <w:color w:val="auto"/>
        </w:rPr>
      </w:pPr>
    </w:p>
    <w:p>
      <w:pPr>
        <w:ind w:right="300"/>
        <w:spacing w:after="0" w:line="253" w:lineRule="auto"/>
        <w:rPr>
          <w:sz w:val="20"/>
          <w:szCs w:val="20"/>
          <w:color w:val="auto"/>
        </w:rPr>
      </w:pPr>
      <w:r>
        <w:rPr>
          <w:rFonts w:ascii="Arial" w:cs="Arial" w:eastAsia="Arial" w:hAnsi="Arial"/>
          <w:sz w:val="25"/>
          <w:szCs w:val="25"/>
          <w:color w:val="auto"/>
        </w:rPr>
        <w:t>Bringing people together to collaborate and innovate solutions to the world’s most significant energy and environmental sustainability challenges.</w:t>
      </w:r>
    </w:p>
    <w:p>
      <w:pPr>
        <w:spacing w:after="0" w:line="220"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By living our higher purpose, we are creating sustainable growth opportunities that deliver value to our shareholders, customers, employees and communities around the world.</w:t>
      </w:r>
    </w:p>
    <w:p>
      <w:pPr>
        <w:spacing w:after="0" w:line="193" w:lineRule="exact"/>
        <w:rPr>
          <w:sz w:val="20"/>
          <w:szCs w:val="20"/>
          <w:color w:val="auto"/>
        </w:rPr>
      </w:pPr>
    </w:p>
    <w:p>
      <w:pPr>
        <w:spacing w:after="0"/>
        <w:rPr>
          <w:sz w:val="20"/>
          <w:szCs w:val="20"/>
          <w:color w:val="auto"/>
        </w:rPr>
      </w:pPr>
      <w:r>
        <w:rPr>
          <w:rFonts w:ascii="Arial" w:cs="Arial" w:eastAsia="Arial" w:hAnsi="Arial"/>
          <w:sz w:val="35"/>
          <w:szCs w:val="35"/>
          <w:color w:val="009A4B"/>
        </w:rPr>
        <w:t>Financial and Operational Highlights</w:t>
      </w:r>
    </w:p>
    <w:p>
      <w:pPr>
        <w:spacing w:after="0" w:line="221" w:lineRule="exact"/>
        <w:rPr>
          <w:sz w:val="20"/>
          <w:szCs w:val="20"/>
          <w:color w:val="auto"/>
        </w:rPr>
      </w:pPr>
    </w:p>
    <w:p>
      <w:pPr>
        <w:spacing w:after="0"/>
        <w:rPr>
          <w:sz w:val="20"/>
          <w:szCs w:val="20"/>
          <w:color w:val="auto"/>
        </w:rPr>
      </w:pPr>
      <w:r>
        <w:rPr>
          <w:rFonts w:ascii="Arial" w:cs="Arial" w:eastAsia="Arial" w:hAnsi="Arial"/>
          <w:sz w:val="28"/>
          <w:szCs w:val="28"/>
          <w:color w:val="00A4E4"/>
        </w:rPr>
        <w:t>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22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153035</wp:posOffset>
            </wp:positionV>
            <wp:extent cx="6863715" cy="12001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6371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8"/>
          <w:szCs w:val="28"/>
          <w:color w:val="00A4E4"/>
        </w:rPr>
        <w:t>Safety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-201295</wp:posOffset>
            </wp:positionV>
            <wp:extent cx="6804660" cy="12338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04660" cy="1233805"/>
                    </a:xfrm>
                    <a:prstGeom prst="rect">
                      <a:avLst/>
                    </a:prstGeom>
                    <a:noFill/>
                  </pic:spPr>
                </pic:pic>
              </a:graphicData>
            </a:graphic>
          </wp:anchor>
        </w:drawing>
      </w:r>
    </w:p>
    <w:p>
      <w:pPr>
        <w:spacing w:after="0" w:line="223" w:lineRule="exact"/>
        <w:rPr>
          <w:sz w:val="20"/>
          <w:szCs w:val="20"/>
          <w:color w:val="auto"/>
        </w:rPr>
      </w:pPr>
    </w:p>
    <w:p>
      <w:pPr>
        <w:ind w:right="5500"/>
        <w:spacing w:after="0" w:line="245" w:lineRule="auto"/>
        <w:rPr>
          <w:sz w:val="20"/>
          <w:szCs w:val="20"/>
          <w:color w:val="auto"/>
        </w:rPr>
      </w:pPr>
      <w:r>
        <w:rPr>
          <w:rFonts w:ascii="Arial" w:cs="Arial" w:eastAsia="Arial" w:hAnsi="Arial"/>
          <w:sz w:val="16"/>
          <w:szCs w:val="16"/>
          <w:color w:val="auto"/>
        </w:rPr>
        <w:t>Our safety performance is critical to our success and one of our goals is to be the safest industrial gas company in the world. Our safety record improved in fiscal 2021, and we have achieved a 75% improvement in the employee lost time injury rate and a 33% improvement in the employee recordable injury rate since fiscal 2014.</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8"/>
          <w:szCs w:val="28"/>
          <w:color w:val="00A4E4"/>
        </w:rPr>
        <w:t>Operational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-201295</wp:posOffset>
            </wp:positionV>
            <wp:extent cx="6804660" cy="166497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04660" cy="1664970"/>
                    </a:xfrm>
                    <a:prstGeom prst="rect">
                      <a:avLst/>
                    </a:prstGeom>
                    <a:noFill/>
                  </pic:spPr>
                </pic:pic>
              </a:graphicData>
            </a:graphic>
          </wp:anchor>
        </w:drawing>
      </w:r>
    </w:p>
    <w:p>
      <w:pPr>
        <w:spacing w:after="0" w:line="223" w:lineRule="exact"/>
        <w:rPr>
          <w:sz w:val="20"/>
          <w:szCs w:val="20"/>
          <w:color w:val="auto"/>
        </w:rPr>
      </w:pPr>
    </w:p>
    <w:p>
      <w:pPr>
        <w:ind w:right="5300"/>
        <w:spacing w:after="0" w:line="244" w:lineRule="auto"/>
        <w:rPr>
          <w:sz w:val="20"/>
          <w:szCs w:val="20"/>
          <w:color w:val="auto"/>
        </w:rPr>
      </w:pPr>
      <w:r>
        <w:rPr>
          <w:rFonts w:ascii="Arial" w:cs="Arial" w:eastAsia="Arial" w:hAnsi="Arial"/>
          <w:sz w:val="16"/>
          <w:szCs w:val="16"/>
          <w:color w:val="auto"/>
        </w:rPr>
        <w:t>During 2021, the Company continued to execute its growth strategy, including a major gasification project in Saudi Arabia, and signed agreements to produce net-zero hydrogen in Edmonton, Alberta, Canada and a blue hydrogen complex in Louisiana, USA. Coupled with our NEOM project announced in 2020 to produce carbon-free hydrogen to power buses and trucks around the world, these multi-billion dollar clean hydrogen projects demonstrate our commitment to the production of no- and low-carbon hydrogen to advance the global energy transition.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8"/>
          <w:szCs w:val="28"/>
          <w:color w:val="00A4E4"/>
        </w:rPr>
        <w:t>Returns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-201295</wp:posOffset>
            </wp:positionV>
            <wp:extent cx="6804660" cy="91313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04660" cy="913130"/>
                    </a:xfrm>
                    <a:prstGeom prst="rect">
                      <a:avLst/>
                    </a:prstGeom>
                    <a:noFill/>
                  </pic:spPr>
                </pic:pic>
              </a:graphicData>
            </a:graphic>
          </wp:anchor>
        </w:drawing>
      </w:r>
    </w:p>
    <w:p>
      <w:pPr>
        <w:spacing w:after="0" w:line="223" w:lineRule="exact"/>
        <w:rPr>
          <w:sz w:val="20"/>
          <w:szCs w:val="20"/>
          <w:color w:val="auto"/>
        </w:rPr>
      </w:pPr>
    </w:p>
    <w:p>
      <w:pPr>
        <w:ind w:right="5240"/>
        <w:spacing w:after="0" w:line="273" w:lineRule="auto"/>
        <w:rPr>
          <w:sz w:val="20"/>
          <w:szCs w:val="20"/>
          <w:color w:val="auto"/>
        </w:rPr>
      </w:pPr>
      <w:r>
        <w:rPr>
          <w:rFonts w:ascii="Arial" w:cs="Arial" w:eastAsia="Arial" w:hAnsi="Arial"/>
          <w:sz w:val="16"/>
          <w:szCs w:val="16"/>
          <w:color w:val="auto"/>
        </w:rPr>
        <w:t>The Company returned approximately $1.3 billion to shareholders through dividends, increasing dividends for the 39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consecutive year.</w:t>
      </w:r>
    </w:p>
    <w:p>
      <w:pPr>
        <w:spacing w:after="0" w:line="200" w:lineRule="exact"/>
        <w:rPr>
          <w:sz w:val="20"/>
          <w:szCs w:val="20"/>
          <w:color w:val="auto"/>
        </w:rPr>
      </w:pPr>
    </w:p>
    <w:p>
      <w:pPr>
        <w:spacing w:after="0" w:line="292" w:lineRule="exact"/>
        <w:rPr>
          <w:sz w:val="20"/>
          <w:szCs w:val="20"/>
          <w:color w:val="auto"/>
        </w:rPr>
      </w:pPr>
    </w:p>
    <w:p>
      <w:pPr>
        <w:ind w:left="220" w:right="80" w:hanging="214"/>
        <w:spacing w:after="0" w:line="181" w:lineRule="auto"/>
        <w:tabs>
          <w:tab w:leader="none" w:pos="22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This is a financial measure not calculated in accordance with United States generally accepted accounting principles (“GAAP”). See Appendix A for a reconciliation to the most directly comparable financial measure calculated under GAAP.</w:t>
      </w:r>
    </w:p>
    <w:p>
      <w:pPr>
        <w:sectPr>
          <w:pgSz w:w="11900" w:h="16838" w:orient="portrait"/>
          <w:cols w:equalWidth="0" w:num="1">
            <w:col w:w="11240"/>
          </w:cols>
          <w:pgMar w:left="320" w:top="140" w:right="339" w:bottom="957" w:gutter="0" w:footer="0" w:header="0"/>
        </w:sectPr>
      </w:pPr>
    </w:p>
    <w:p>
      <w:pPr>
        <w:spacing w:after="0" w:line="265" w:lineRule="exact"/>
        <w:rPr>
          <w:sz w:val="20"/>
          <w:szCs w:val="20"/>
          <w:color w:val="auto"/>
        </w:rPr>
      </w:pPr>
    </w:p>
    <w:p>
      <w:pPr>
        <w:ind w:left="9520"/>
        <w:spacing w:after="0"/>
        <w:tabs>
          <w:tab w:leader="none" w:pos="11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55180" cy="209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957"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35"/>
          <w:szCs w:val="35"/>
          <w:color w:val="009844"/>
        </w:rPr>
        <w:t>Sustainability Highlights</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color w:val="auto"/>
        </w:rPr>
        <w:t>Providing innovative solutions through deeply-rooted values</w:t>
      </w:r>
    </w:p>
    <w:p>
      <w:pPr>
        <w:spacing w:after="0" w:line="219"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In 2016, Air Products set 12 sustainability goals to be achieved by 2020. By the end of 2020, we met nearly all of the goals across our Grow-Conserve-Care framework. As our 2020 goals were nearing completion, Air Products developed new Sustainability Goals. These new goals reflect our priorities in sustainability and our ongoing stakeholder assessments. Several of the goals are continuations of our 2020 goals, while others are new commitments reflective of our sustainable growth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7197090" cy="24682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97090" cy="24682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
        <w:spacing w:after="0"/>
        <w:rPr>
          <w:sz w:val="20"/>
          <w:szCs w:val="20"/>
          <w:color w:val="auto"/>
        </w:rPr>
      </w:pPr>
      <w:r>
        <w:rPr>
          <w:rFonts w:ascii="Arial" w:cs="Arial" w:eastAsia="Arial" w:hAnsi="Arial"/>
          <w:sz w:val="27"/>
          <w:szCs w:val="27"/>
          <w:b w:val="1"/>
          <w:bCs w:val="1"/>
          <w:color w:val="FFFFFF"/>
        </w:rPr>
        <w:t>Grow</w:t>
      </w:r>
    </w:p>
    <w:p>
      <w:pPr>
        <w:spacing w:after="0" w:line="25" w:lineRule="exact"/>
        <w:rPr>
          <w:sz w:val="20"/>
          <w:szCs w:val="20"/>
          <w:color w:val="auto"/>
        </w:rPr>
      </w:pPr>
    </w:p>
    <w:p>
      <w:pPr>
        <w:ind w:left="180"/>
        <w:spacing w:after="0" w:line="245" w:lineRule="auto"/>
        <w:rPr>
          <w:sz w:val="20"/>
          <w:szCs w:val="20"/>
          <w:color w:val="auto"/>
        </w:rPr>
      </w:pPr>
      <w:r>
        <w:rPr>
          <w:rFonts w:ascii="Arial" w:cs="Arial" w:eastAsia="Arial" w:hAnsi="Arial"/>
          <w:sz w:val="21"/>
          <w:szCs w:val="21"/>
          <w:color w:val="FFFFFF"/>
        </w:rPr>
        <w:t>responsibly through sustainability-driven opportunities that benefit our customers and our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00"/>
        <w:spacing w:after="0"/>
        <w:rPr>
          <w:sz w:val="20"/>
          <w:szCs w:val="20"/>
          <w:color w:val="auto"/>
        </w:rPr>
      </w:pPr>
      <w:r>
        <w:rPr>
          <w:rFonts w:ascii="Arial" w:cs="Arial" w:eastAsia="Arial" w:hAnsi="Arial"/>
          <w:sz w:val="23"/>
          <w:szCs w:val="23"/>
          <w:color w:val="auto"/>
        </w:rPr>
        <w:t>Achievements</w:t>
      </w:r>
    </w:p>
    <w:p>
      <w:pPr>
        <w:spacing w:after="0" w:line="106" w:lineRule="exact"/>
        <w:rPr>
          <w:sz w:val="20"/>
          <w:szCs w:val="20"/>
          <w:color w:val="auto"/>
        </w:rPr>
      </w:pPr>
    </w:p>
    <w:p>
      <w:pPr>
        <w:ind w:left="300" w:right="380" w:hanging="205"/>
        <w:spacing w:after="0" w:line="246" w:lineRule="auto"/>
        <w:tabs>
          <w:tab w:leader="none" w:pos="317" w:val="left"/>
        </w:tabs>
        <w:numPr>
          <w:ilvl w:val="0"/>
          <w:numId w:val="5"/>
        </w:numPr>
        <w:rPr>
          <w:rFonts w:ascii="Arial" w:cs="Arial" w:eastAsia="Arial" w:hAnsi="Arial"/>
          <w:sz w:val="16"/>
          <w:szCs w:val="16"/>
          <w:color w:val="009844"/>
        </w:rPr>
      </w:pPr>
      <w:r>
        <w:rPr>
          <w:rFonts w:ascii="Arial" w:cs="Arial" w:eastAsia="Arial" w:hAnsi="Arial"/>
          <w:sz w:val="16"/>
          <w:szCs w:val="16"/>
          <w:color w:val="auto"/>
        </w:rPr>
        <w:t>Led the industrial gas industry in profitability, with the highest adjusted EBITDA margin* and adjusted operating margin* in the industry</w:t>
      </w:r>
    </w:p>
    <w:p>
      <w:pPr>
        <w:spacing w:after="0" w:line="70" w:lineRule="exact"/>
        <w:rPr>
          <w:rFonts w:ascii="Arial" w:cs="Arial" w:eastAsia="Arial" w:hAnsi="Arial"/>
          <w:sz w:val="16"/>
          <w:szCs w:val="16"/>
          <w:color w:val="009844"/>
        </w:rPr>
      </w:pPr>
    </w:p>
    <w:p>
      <w:pPr>
        <w:ind w:left="300" w:right="120" w:hanging="205"/>
        <w:spacing w:after="0" w:line="219" w:lineRule="auto"/>
        <w:tabs>
          <w:tab w:leader="none" w:pos="317" w:val="left"/>
        </w:tabs>
        <w:numPr>
          <w:ilvl w:val="0"/>
          <w:numId w:val="5"/>
        </w:numPr>
        <w:rPr>
          <w:rFonts w:ascii="Arial" w:cs="Arial" w:eastAsia="Arial" w:hAnsi="Arial"/>
          <w:sz w:val="16"/>
          <w:szCs w:val="16"/>
          <w:color w:val="009844"/>
        </w:rPr>
      </w:pPr>
      <w:r>
        <w:rPr>
          <w:rFonts w:ascii="Arial" w:cs="Arial" w:eastAsia="Arial" w:hAnsi="Arial"/>
          <w:sz w:val="16"/>
          <w:szCs w:val="16"/>
          <w:color w:val="auto"/>
        </w:rPr>
        <w:t>Enabled customers to avoid three times our own CO</w:t>
      </w:r>
      <w:r>
        <w:rPr>
          <w:rFonts w:ascii="Arial" w:cs="Arial" w:eastAsia="Arial" w:hAnsi="Arial"/>
          <w:sz w:val="26"/>
          <w:szCs w:val="26"/>
          <w:color w:val="auto"/>
          <w:vertAlign w:val="subscript"/>
        </w:rPr>
        <w:t>2</w:t>
      </w:r>
      <w:r>
        <w:rPr>
          <w:rFonts w:ascii="Arial" w:cs="Arial" w:eastAsia="Arial" w:hAnsi="Arial"/>
          <w:sz w:val="16"/>
          <w:szCs w:val="16"/>
          <w:color w:val="auto"/>
        </w:rPr>
        <w:t xml:space="preserve"> equivalent (“CO</w:t>
      </w:r>
      <w:r>
        <w:rPr>
          <w:rFonts w:ascii="Arial" w:cs="Arial" w:eastAsia="Arial" w:hAnsi="Arial"/>
          <w:sz w:val="26"/>
          <w:szCs w:val="26"/>
          <w:color w:val="auto"/>
          <w:vertAlign w:val="subscript"/>
        </w:rPr>
        <w:t>2</w:t>
      </w:r>
      <w:r>
        <w:rPr>
          <w:rFonts w:ascii="Arial" w:cs="Arial" w:eastAsia="Arial" w:hAnsi="Arial"/>
          <w:sz w:val="16"/>
          <w:szCs w:val="16"/>
          <w:color w:val="auto"/>
        </w:rPr>
        <w:t>e”) emissions while contributing 57% of revenues from sustainable offerings</w:t>
      </w:r>
    </w:p>
    <w:p>
      <w:pPr>
        <w:spacing w:after="0" w:line="88" w:lineRule="exact"/>
        <w:rPr>
          <w:rFonts w:ascii="Arial" w:cs="Arial" w:eastAsia="Arial" w:hAnsi="Arial"/>
          <w:sz w:val="16"/>
          <w:szCs w:val="16"/>
          <w:color w:val="009844"/>
        </w:rPr>
      </w:pPr>
    </w:p>
    <w:p>
      <w:pPr>
        <w:ind w:left="300" w:right="240" w:hanging="205"/>
        <w:spacing w:after="0" w:line="246" w:lineRule="auto"/>
        <w:tabs>
          <w:tab w:leader="none" w:pos="308" w:val="left"/>
        </w:tabs>
        <w:numPr>
          <w:ilvl w:val="0"/>
          <w:numId w:val="5"/>
        </w:numPr>
        <w:rPr>
          <w:rFonts w:ascii="Arial" w:cs="Arial" w:eastAsia="Arial" w:hAnsi="Arial"/>
          <w:sz w:val="16"/>
          <w:szCs w:val="16"/>
          <w:color w:val="009844"/>
        </w:rPr>
      </w:pPr>
      <w:r>
        <w:rPr>
          <w:rFonts w:ascii="Arial" w:cs="Arial" w:eastAsia="Arial" w:hAnsi="Arial"/>
          <w:sz w:val="16"/>
          <w:szCs w:val="16"/>
          <w:color w:val="auto"/>
        </w:rPr>
        <w:t>Announced landmark carbon capture and blue hydrogen projects in Canada and the United States to advance clean energy transition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1"/>
        <w:spacing w:after="0"/>
        <w:rPr>
          <w:sz w:val="20"/>
          <w:szCs w:val="20"/>
          <w:color w:val="auto"/>
        </w:rPr>
      </w:pPr>
      <w:r>
        <w:rPr>
          <w:rFonts w:ascii="Arial" w:cs="Arial" w:eastAsia="Arial" w:hAnsi="Arial"/>
          <w:sz w:val="27"/>
          <w:szCs w:val="27"/>
          <w:b w:val="1"/>
          <w:bCs w:val="1"/>
          <w:color w:val="FFFFFF"/>
        </w:rPr>
        <w:t>Conserve</w:t>
      </w:r>
    </w:p>
    <w:p>
      <w:pPr>
        <w:spacing w:after="0" w:line="25" w:lineRule="exact"/>
        <w:rPr>
          <w:sz w:val="20"/>
          <w:szCs w:val="20"/>
          <w:color w:val="auto"/>
        </w:rPr>
      </w:pPr>
    </w:p>
    <w:p>
      <w:pPr>
        <w:ind w:left="91" w:right="160"/>
        <w:spacing w:after="0" w:line="245" w:lineRule="auto"/>
        <w:rPr>
          <w:sz w:val="20"/>
          <w:szCs w:val="20"/>
          <w:color w:val="auto"/>
        </w:rPr>
      </w:pPr>
      <w:r>
        <w:rPr>
          <w:rFonts w:ascii="Arial" w:cs="Arial" w:eastAsia="Arial" w:hAnsi="Arial"/>
          <w:sz w:val="21"/>
          <w:szCs w:val="21"/>
          <w:color w:val="FFFFFF"/>
        </w:rPr>
        <w:t>resources and reduce environmental footprints through cost-effective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11" w:right="440" w:hanging="211"/>
        <w:spacing w:after="0" w:line="254" w:lineRule="auto"/>
        <w:tabs>
          <w:tab w:leader="none" w:pos="228" w:val="left"/>
        </w:tabs>
        <w:numPr>
          <w:ilvl w:val="0"/>
          <w:numId w:val="6"/>
        </w:numPr>
        <w:rPr>
          <w:rFonts w:ascii="Arial" w:cs="Arial" w:eastAsia="Arial" w:hAnsi="Arial"/>
          <w:sz w:val="16"/>
          <w:szCs w:val="16"/>
          <w:color w:val="00A4E4"/>
        </w:rPr>
      </w:pPr>
      <w:r>
        <w:rPr>
          <w:rFonts w:ascii="Arial" w:cs="Arial" w:eastAsia="Arial" w:hAnsi="Arial"/>
          <w:sz w:val="16"/>
          <w:szCs w:val="16"/>
          <w:color w:val="auto"/>
        </w:rPr>
        <w:t>Reduced GHG emissions intensity by 2.6%, surpassing our goal of 2%</w:t>
      </w:r>
    </w:p>
    <w:p>
      <w:pPr>
        <w:spacing w:after="0" w:line="63" w:lineRule="exact"/>
        <w:rPr>
          <w:rFonts w:ascii="Arial" w:cs="Arial" w:eastAsia="Arial" w:hAnsi="Arial"/>
          <w:sz w:val="16"/>
          <w:szCs w:val="16"/>
          <w:color w:val="00A4E4"/>
        </w:rPr>
      </w:pPr>
    </w:p>
    <w:p>
      <w:pPr>
        <w:ind w:left="271" w:right="100" w:hanging="253"/>
        <w:spacing w:after="0" w:line="212" w:lineRule="auto"/>
        <w:tabs>
          <w:tab w:leader="none" w:pos="252" w:val="left"/>
        </w:tabs>
        <w:numPr>
          <w:ilvl w:val="1"/>
          <w:numId w:val="6"/>
        </w:numPr>
        <w:rPr>
          <w:rFonts w:ascii="Arial" w:cs="Arial" w:eastAsia="Arial" w:hAnsi="Arial"/>
          <w:sz w:val="16"/>
          <w:szCs w:val="16"/>
          <w:color w:val="00A4E4"/>
        </w:rPr>
      </w:pPr>
      <w:r>
        <w:rPr>
          <w:rFonts w:ascii="Arial" w:cs="Arial" w:eastAsia="Arial" w:hAnsi="Arial"/>
          <w:sz w:val="16"/>
          <w:szCs w:val="16"/>
          <w:color w:val="auto"/>
        </w:rPr>
        <w:t>Improved distribution efficiency and reduced CO</w:t>
      </w:r>
      <w:r>
        <w:rPr>
          <w:rFonts w:ascii="Arial" w:cs="Arial" w:eastAsia="Arial" w:hAnsi="Arial"/>
          <w:sz w:val="26"/>
          <w:szCs w:val="26"/>
          <w:color w:val="auto"/>
          <w:vertAlign w:val="subscript"/>
        </w:rPr>
        <w:t>2</w:t>
      </w:r>
      <w:r>
        <w:rPr>
          <w:rFonts w:ascii="Arial" w:cs="Arial" w:eastAsia="Arial" w:hAnsi="Arial"/>
          <w:sz w:val="16"/>
          <w:szCs w:val="16"/>
          <w:color w:val="auto"/>
        </w:rPr>
        <w:t xml:space="preserve"> emissions intensity by 20%, exceeding our goal of 10%</w:t>
      </w:r>
    </w:p>
    <w:p>
      <w:pPr>
        <w:spacing w:after="0" w:line="89" w:lineRule="exact"/>
        <w:rPr>
          <w:rFonts w:ascii="Arial" w:cs="Arial" w:eastAsia="Arial" w:hAnsi="Arial"/>
          <w:sz w:val="16"/>
          <w:szCs w:val="16"/>
          <w:color w:val="00A4E4"/>
        </w:rPr>
      </w:pPr>
    </w:p>
    <w:p>
      <w:pPr>
        <w:ind w:left="271" w:hanging="253"/>
        <w:spacing w:after="0" w:line="287" w:lineRule="auto"/>
        <w:tabs>
          <w:tab w:leader="none" w:pos="252" w:val="left"/>
        </w:tabs>
        <w:numPr>
          <w:ilvl w:val="1"/>
          <w:numId w:val="6"/>
        </w:numPr>
        <w:rPr>
          <w:rFonts w:ascii="Arial" w:cs="Arial" w:eastAsia="Arial" w:hAnsi="Arial"/>
          <w:sz w:val="15"/>
          <w:szCs w:val="15"/>
          <w:color w:val="00A4E4"/>
        </w:rPr>
      </w:pPr>
      <w:r>
        <w:rPr>
          <w:rFonts w:ascii="Arial" w:cs="Arial" w:eastAsia="Arial" w:hAnsi="Arial"/>
          <w:sz w:val="15"/>
          <w:szCs w:val="15"/>
          <w:color w:val="auto"/>
        </w:rPr>
        <w:t>Conserved water and lowered use intensity by 26%, exceeding our goal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-2515235</wp:posOffset>
            </wp:positionH>
            <wp:positionV relativeFrom="paragraph">
              <wp:posOffset>717550</wp:posOffset>
            </wp:positionV>
            <wp:extent cx="71970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970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98"/>
        <w:spacing w:after="0"/>
        <w:rPr>
          <w:sz w:val="20"/>
          <w:szCs w:val="20"/>
          <w:color w:val="auto"/>
        </w:rPr>
      </w:pPr>
      <w:r>
        <w:rPr>
          <w:rFonts w:ascii="Arial" w:cs="Arial" w:eastAsia="Arial" w:hAnsi="Arial"/>
          <w:sz w:val="27"/>
          <w:szCs w:val="27"/>
          <w:b w:val="1"/>
          <w:bCs w:val="1"/>
          <w:color w:val="FFFFFF"/>
        </w:rPr>
        <w:t>Care</w:t>
      </w:r>
    </w:p>
    <w:p>
      <w:pPr>
        <w:spacing w:after="0" w:line="25" w:lineRule="exact"/>
        <w:rPr>
          <w:sz w:val="20"/>
          <w:szCs w:val="20"/>
          <w:color w:val="auto"/>
        </w:rPr>
      </w:pPr>
    </w:p>
    <w:p>
      <w:pPr>
        <w:ind w:left="98" w:right="280"/>
        <w:spacing w:after="0" w:line="245" w:lineRule="auto"/>
        <w:rPr>
          <w:sz w:val="20"/>
          <w:szCs w:val="20"/>
          <w:color w:val="auto"/>
        </w:rPr>
      </w:pPr>
      <w:r>
        <w:rPr>
          <w:rFonts w:ascii="Arial" w:cs="Arial" w:eastAsia="Arial" w:hAnsi="Arial"/>
          <w:sz w:val="21"/>
          <w:szCs w:val="21"/>
          <w:color w:val="FFFFFF"/>
        </w:rPr>
        <w:t>for our employees, customers and communities, protecting our ability to operate and 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18" w:right="200" w:hanging="218"/>
        <w:spacing w:after="0" w:line="254" w:lineRule="auto"/>
        <w:tabs>
          <w:tab w:leader="none" w:pos="234" w:val="left"/>
        </w:tabs>
        <w:numPr>
          <w:ilvl w:val="0"/>
          <w:numId w:val="7"/>
        </w:numPr>
        <w:rPr>
          <w:rFonts w:ascii="Arial" w:cs="Arial" w:eastAsia="Arial" w:hAnsi="Arial"/>
          <w:sz w:val="16"/>
          <w:szCs w:val="16"/>
          <w:color w:val="F58028"/>
        </w:rPr>
      </w:pPr>
      <w:r>
        <w:rPr>
          <w:rFonts w:ascii="Arial" w:cs="Arial" w:eastAsia="Arial" w:hAnsi="Arial"/>
          <w:sz w:val="16"/>
          <w:szCs w:val="16"/>
          <w:color w:val="auto"/>
        </w:rPr>
        <w:t>Led the industrial gas industry in safety as measured by our safety rates</w:t>
      </w:r>
    </w:p>
    <w:p>
      <w:pPr>
        <w:spacing w:after="0" w:line="63" w:lineRule="exact"/>
        <w:rPr>
          <w:rFonts w:ascii="Arial" w:cs="Arial" w:eastAsia="Arial" w:hAnsi="Arial"/>
          <w:sz w:val="16"/>
          <w:szCs w:val="16"/>
          <w:color w:val="F58028"/>
        </w:rPr>
      </w:pPr>
    </w:p>
    <w:p>
      <w:pPr>
        <w:ind w:left="258" w:right="380" w:hanging="240"/>
        <w:spacing w:after="0" w:line="254" w:lineRule="auto"/>
        <w:tabs>
          <w:tab w:leader="none" w:pos="239" w:val="left"/>
        </w:tabs>
        <w:numPr>
          <w:ilvl w:val="1"/>
          <w:numId w:val="7"/>
        </w:numPr>
        <w:rPr>
          <w:rFonts w:ascii="Arial" w:cs="Arial" w:eastAsia="Arial" w:hAnsi="Arial"/>
          <w:sz w:val="16"/>
          <w:szCs w:val="16"/>
          <w:color w:val="F58028"/>
        </w:rPr>
      </w:pPr>
      <w:r>
        <w:rPr>
          <w:rFonts w:ascii="Arial" w:cs="Arial" w:eastAsia="Arial" w:hAnsi="Arial"/>
          <w:sz w:val="16"/>
          <w:szCs w:val="16"/>
          <w:color w:val="auto"/>
        </w:rPr>
        <w:t>Contributed $6.4 million in donations to communities</w:t>
      </w:r>
    </w:p>
    <w:p>
      <w:pPr>
        <w:spacing w:after="0" w:line="76" w:lineRule="exact"/>
        <w:rPr>
          <w:rFonts w:ascii="Arial" w:cs="Arial" w:eastAsia="Arial" w:hAnsi="Arial"/>
          <w:sz w:val="16"/>
          <w:szCs w:val="16"/>
          <w:color w:val="F58028"/>
        </w:rPr>
      </w:pPr>
    </w:p>
    <w:p>
      <w:pPr>
        <w:ind w:left="258" w:right="440" w:hanging="240"/>
        <w:spacing w:after="0" w:line="268" w:lineRule="auto"/>
        <w:tabs>
          <w:tab w:leader="none" w:pos="230" w:val="left"/>
        </w:tabs>
        <w:numPr>
          <w:ilvl w:val="1"/>
          <w:numId w:val="7"/>
        </w:numPr>
        <w:rPr>
          <w:rFonts w:ascii="Arial" w:cs="Arial" w:eastAsia="Arial" w:hAnsi="Arial"/>
          <w:sz w:val="15"/>
          <w:szCs w:val="15"/>
          <w:color w:val="F58028"/>
        </w:rPr>
      </w:pPr>
      <w:r>
        <w:rPr>
          <w:rFonts w:ascii="Arial" w:cs="Arial" w:eastAsia="Arial" w:hAnsi="Arial"/>
          <w:sz w:val="15"/>
          <w:szCs w:val="15"/>
          <w:color w:val="auto"/>
        </w:rPr>
        <w:t>Air Products hosted a global Day of Understanding/Week of Inclusion, underpinning our announced diversity, inclusion and belonging goals</w:t>
      </w:r>
    </w:p>
    <w:p>
      <w:pPr>
        <w:spacing w:after="0" w:line="955" w:lineRule="exact"/>
        <w:rPr>
          <w:sz w:val="20"/>
          <w:szCs w:val="20"/>
          <w:color w:val="auto"/>
        </w:rPr>
      </w:pPr>
    </w:p>
    <w:p>
      <w:pPr>
        <w:sectPr>
          <w:pgSz w:w="11900" w:h="16838" w:orient="portrait"/>
          <w:cols w:equalWidth="0" w:num="3">
            <w:col w:w="3520" w:space="449"/>
            <w:col w:w="3311" w:space="562"/>
            <w:col w:w="3398"/>
          </w:cols>
          <w:pgMar w:left="320" w:top="140" w:right="339"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Arial" w:cs="Arial" w:eastAsia="Arial" w:hAnsi="Arial"/>
          <w:sz w:val="23"/>
          <w:szCs w:val="23"/>
          <w:color w:val="auto"/>
        </w:rPr>
        <w:t>New Goals</w:t>
      </w:r>
    </w:p>
    <w:p>
      <w:pPr>
        <w:spacing w:after="0" w:line="73" w:lineRule="exact"/>
        <w:rPr>
          <w:sz w:val="20"/>
          <w:szCs w:val="20"/>
          <w:color w:val="auto"/>
        </w:rPr>
      </w:pPr>
    </w:p>
    <w:p>
      <w:pPr>
        <w:ind w:left="1760" w:right="1380"/>
        <w:spacing w:after="0" w:line="287" w:lineRule="auto"/>
        <w:rPr>
          <w:sz w:val="20"/>
          <w:szCs w:val="20"/>
          <w:color w:val="auto"/>
        </w:rPr>
      </w:pPr>
      <w:r>
        <w:rPr>
          <w:rFonts w:ascii="Arial" w:cs="Arial" w:eastAsia="Arial" w:hAnsi="Arial"/>
          <w:sz w:val="15"/>
          <w:szCs w:val="15"/>
          <w:b w:val="1"/>
          <w:bCs w:val="1"/>
          <w:color w:val="009844"/>
        </w:rPr>
        <w:t xml:space="preserve">Economic Performance </w:t>
      </w:r>
      <w:r>
        <w:rPr>
          <w:rFonts w:ascii="Arial" w:cs="Arial" w:eastAsia="Arial" w:hAnsi="Arial"/>
          <w:sz w:val="15"/>
          <w:szCs w:val="15"/>
          <w:color w:val="000000"/>
        </w:rPr>
        <w:t>Lead the industrial gas industry in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-381000</wp:posOffset>
            </wp:positionV>
            <wp:extent cx="337820" cy="2787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37820" cy="278765"/>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-381000</wp:posOffset>
            </wp:positionV>
            <wp:extent cx="295910" cy="19431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95910" cy="194310"/>
                    </a:xfrm>
                    <a:prstGeom prst="rect">
                      <a:avLst/>
                    </a:prstGeom>
                    <a:noFill/>
                  </pic:spPr>
                </pic:pic>
              </a:graphicData>
            </a:graphic>
          </wp:anchor>
        </w:drawing>
      </w:r>
    </w:p>
    <w:p>
      <w:pPr>
        <w:spacing w:after="0" w:line="400" w:lineRule="exact"/>
        <w:rPr>
          <w:sz w:val="20"/>
          <w:szCs w:val="20"/>
          <w:color w:val="auto"/>
        </w:rPr>
      </w:pPr>
    </w:p>
    <w:p>
      <w:pPr>
        <w:ind w:left="1760"/>
        <w:spacing w:after="0"/>
        <w:rPr>
          <w:sz w:val="20"/>
          <w:szCs w:val="20"/>
          <w:color w:val="auto"/>
        </w:rPr>
      </w:pPr>
      <w:r>
        <w:rPr>
          <w:rFonts w:ascii="Arial" w:cs="Arial" w:eastAsia="Arial" w:hAnsi="Arial"/>
          <w:sz w:val="16"/>
          <w:szCs w:val="16"/>
          <w:b w:val="1"/>
          <w:bCs w:val="1"/>
          <w:color w:val="009844"/>
        </w:rPr>
        <w:t>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253365" cy="262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53365" cy="262255"/>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-104775</wp:posOffset>
            </wp:positionV>
            <wp:extent cx="253365" cy="2533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53365" cy="253365"/>
                    </a:xfrm>
                    <a:prstGeom prst="rect">
                      <a:avLst/>
                    </a:prstGeom>
                    <a:noFill/>
                  </pic:spPr>
                </pic:pic>
              </a:graphicData>
            </a:graphic>
          </wp:anchor>
        </w:drawing>
      </w:r>
    </w:p>
    <w:p>
      <w:pPr>
        <w:spacing w:after="0" w:line="2" w:lineRule="exact"/>
        <w:rPr>
          <w:sz w:val="20"/>
          <w:szCs w:val="20"/>
          <w:color w:val="auto"/>
        </w:rPr>
      </w:pPr>
    </w:p>
    <w:p>
      <w:pPr>
        <w:ind w:left="1760"/>
        <w:spacing w:after="0"/>
        <w:rPr>
          <w:sz w:val="20"/>
          <w:szCs w:val="20"/>
          <w:color w:val="auto"/>
        </w:rPr>
      </w:pPr>
      <w:r>
        <w:rPr>
          <w:rFonts w:ascii="Arial" w:cs="Arial" w:eastAsia="Arial" w:hAnsi="Arial"/>
          <w:sz w:val="16"/>
          <w:szCs w:val="16"/>
          <w:b w:val="1"/>
          <w:bCs w:val="1"/>
          <w:color w:val="009844"/>
        </w:rPr>
        <w:t>Sustainability</w:t>
      </w:r>
    </w:p>
    <w:p>
      <w:pPr>
        <w:spacing w:after="0" w:line="2"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Annually increase the</w:t>
      </w:r>
    </w:p>
    <w:p>
      <w:pPr>
        <w:ind w:left="1760"/>
        <w:spacing w:after="0" w:line="187" w:lineRule="auto"/>
        <w:rPr>
          <w:sz w:val="20"/>
          <w:szCs w:val="20"/>
          <w:color w:val="auto"/>
        </w:rPr>
      </w:pPr>
      <w:r>
        <w:rPr>
          <w:rFonts w:ascii="Arial" w:cs="Arial" w:eastAsia="Arial" w:hAnsi="Arial"/>
          <w:sz w:val="15"/>
          <w:szCs w:val="15"/>
          <w:color w:val="auto"/>
        </w:rPr>
        <w:t>total CO</w:t>
      </w:r>
      <w:r>
        <w:rPr>
          <w:rFonts w:ascii="Arial" w:cs="Arial" w:eastAsia="Arial" w:hAnsi="Arial"/>
          <w:sz w:val="24"/>
          <w:szCs w:val="24"/>
          <w:color w:val="auto"/>
          <w:vertAlign w:val="subscript"/>
        </w:rPr>
        <w:t>2</w:t>
      </w:r>
      <w:r>
        <w:rPr>
          <w:rFonts w:ascii="Arial" w:cs="Arial" w:eastAsia="Arial" w:hAnsi="Arial"/>
          <w:sz w:val="15"/>
          <w:szCs w:val="15"/>
          <w:color w:val="auto"/>
        </w:rPr>
        <w:t xml:space="preserve"> emissions</w:t>
      </w:r>
    </w:p>
    <w:p>
      <w:pPr>
        <w:ind w:left="1760"/>
        <w:spacing w:after="0"/>
        <w:rPr>
          <w:sz w:val="20"/>
          <w:szCs w:val="20"/>
          <w:color w:val="auto"/>
        </w:rPr>
      </w:pPr>
      <w:r>
        <w:rPr>
          <w:rFonts w:ascii="Arial" w:cs="Arial" w:eastAsia="Arial" w:hAnsi="Arial"/>
          <w:sz w:val="16"/>
          <w:szCs w:val="16"/>
          <w:color w:val="auto"/>
        </w:rPr>
        <w:t>avoided by our</w:t>
      </w:r>
    </w:p>
    <w:p>
      <w:pPr>
        <w:spacing w:after="0" w:line="2"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customers</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9"/>
        </w:trPr>
        <w:tc>
          <w:tcPr>
            <w:tcW w:w="2840" w:type="dxa"/>
            <w:vAlign w:val="bottom"/>
          </w:tcPr>
          <w:p>
            <w:pPr>
              <w:spacing w:after="0"/>
              <w:rPr>
                <w:sz w:val="20"/>
                <w:szCs w:val="20"/>
                <w:color w:val="auto"/>
              </w:rPr>
            </w:pPr>
            <w:r>
              <w:rPr>
                <w:rFonts w:ascii="Arial" w:cs="Arial" w:eastAsia="Arial" w:hAnsi="Arial"/>
                <w:sz w:val="16"/>
                <w:szCs w:val="16"/>
                <w:b w:val="1"/>
                <w:bCs w:val="1"/>
                <w:color w:val="00A4E4"/>
              </w:rPr>
              <w:t>CO</w:t>
            </w:r>
            <w:r>
              <w:rPr>
                <w:rFonts w:ascii="Arial" w:cs="Arial" w:eastAsia="Arial" w:hAnsi="Arial"/>
                <w:sz w:val="26"/>
                <w:szCs w:val="26"/>
                <w:b w:val="1"/>
                <w:bCs w:val="1"/>
                <w:color w:val="00A4E4"/>
                <w:vertAlign w:val="subscript"/>
              </w:rPr>
              <w:t>2</w:t>
            </w:r>
            <w:r>
              <w:rPr>
                <w:rFonts w:ascii="Arial" w:cs="Arial" w:eastAsia="Arial" w:hAnsi="Arial"/>
                <w:sz w:val="16"/>
                <w:szCs w:val="16"/>
                <w:b w:val="1"/>
                <w:bCs w:val="1"/>
                <w:color w:val="00A4E4"/>
              </w:rPr>
              <w:t xml:space="preserve"> Intensity</w:t>
            </w:r>
          </w:p>
        </w:tc>
        <w:tc>
          <w:tcPr>
            <w:tcW w:w="2680" w:type="dxa"/>
            <w:vAlign w:val="bottom"/>
          </w:tcPr>
          <w:p>
            <w:pPr>
              <w:ind w:left="1060"/>
              <w:spacing w:after="0"/>
              <w:rPr>
                <w:sz w:val="20"/>
                <w:szCs w:val="20"/>
                <w:color w:val="auto"/>
              </w:rPr>
            </w:pPr>
            <w:r>
              <w:rPr>
                <w:rFonts w:ascii="Arial" w:cs="Arial" w:eastAsia="Arial" w:hAnsi="Arial"/>
                <w:sz w:val="16"/>
                <w:szCs w:val="16"/>
                <w:b w:val="1"/>
                <w:bCs w:val="1"/>
                <w:color w:val="F58028"/>
              </w:rPr>
              <w:t>Safety</w:t>
            </w:r>
          </w:p>
        </w:tc>
        <w:tc>
          <w:tcPr>
            <w:tcW w:w="0" w:type="dxa"/>
            <w:vAlign w:val="bottom"/>
          </w:tcPr>
          <w:p>
            <w:pPr>
              <w:spacing w:after="0"/>
              <w:rPr>
                <w:sz w:val="1"/>
                <w:szCs w:val="1"/>
                <w:color w:val="auto"/>
              </w:rPr>
            </w:pPr>
          </w:p>
        </w:tc>
      </w:tr>
      <w:tr>
        <w:trPr>
          <w:trHeight w:val="186"/>
        </w:trPr>
        <w:tc>
          <w:tcPr>
            <w:tcW w:w="2840" w:type="dxa"/>
            <w:vAlign w:val="bottom"/>
          </w:tcPr>
          <w:p>
            <w:pPr>
              <w:spacing w:after="0" w:line="187" w:lineRule="exact"/>
              <w:rPr>
                <w:sz w:val="20"/>
                <w:szCs w:val="20"/>
                <w:color w:val="auto"/>
              </w:rPr>
            </w:pPr>
            <w:r>
              <w:rPr>
                <w:rFonts w:ascii="Arial" w:cs="Arial" w:eastAsia="Arial" w:hAnsi="Arial"/>
                <w:sz w:val="13"/>
                <w:szCs w:val="13"/>
                <w:color w:val="auto"/>
              </w:rPr>
              <w:t>Reduce our CO</w:t>
            </w:r>
            <w:r>
              <w:rPr>
                <w:rFonts w:ascii="Arial" w:cs="Arial" w:eastAsia="Arial" w:hAnsi="Arial"/>
                <w:sz w:val="21"/>
                <w:szCs w:val="21"/>
                <w:color w:val="auto"/>
                <w:vertAlign w:val="subscript"/>
              </w:rPr>
              <w:t>2</w:t>
            </w:r>
          </w:p>
        </w:tc>
        <w:tc>
          <w:tcPr>
            <w:tcW w:w="2680" w:type="dxa"/>
            <w:vAlign w:val="bottom"/>
          </w:tcPr>
          <w:p>
            <w:pPr>
              <w:ind w:left="1060"/>
              <w:spacing w:after="0"/>
              <w:rPr>
                <w:sz w:val="20"/>
                <w:szCs w:val="20"/>
                <w:color w:val="auto"/>
              </w:rPr>
            </w:pPr>
            <w:r>
              <w:rPr>
                <w:rFonts w:ascii="Arial" w:cs="Arial" w:eastAsia="Arial" w:hAnsi="Arial"/>
                <w:sz w:val="16"/>
                <w:szCs w:val="16"/>
                <w:color w:val="auto"/>
                <w:w w:val="99"/>
              </w:rPr>
              <w:t>Lead the industrial gas</w:t>
            </w:r>
          </w:p>
        </w:tc>
        <w:tc>
          <w:tcPr>
            <w:tcW w:w="0" w:type="dxa"/>
            <w:vAlign w:val="bottom"/>
          </w:tcPr>
          <w:p>
            <w:pPr>
              <w:spacing w:after="0"/>
              <w:rPr>
                <w:sz w:val="1"/>
                <w:szCs w:val="1"/>
                <w:color w:val="auto"/>
              </w:rPr>
            </w:pPr>
          </w:p>
        </w:tc>
      </w:tr>
      <w:tr>
        <w:trPr>
          <w:trHeight w:val="193"/>
        </w:trPr>
        <w:tc>
          <w:tcPr>
            <w:tcW w:w="2840" w:type="dxa"/>
            <w:vAlign w:val="bottom"/>
            <w:vMerge w:val="restart"/>
          </w:tcPr>
          <w:p>
            <w:pPr>
              <w:spacing w:after="0"/>
              <w:rPr>
                <w:sz w:val="20"/>
                <w:szCs w:val="20"/>
                <w:color w:val="auto"/>
              </w:rPr>
            </w:pPr>
            <w:r>
              <w:rPr>
                <w:rFonts w:ascii="Arial" w:cs="Arial" w:eastAsia="Arial" w:hAnsi="Arial"/>
                <w:sz w:val="16"/>
                <w:szCs w:val="16"/>
                <w:color w:val="auto"/>
              </w:rPr>
              <w:t>emissions intensity by</w:t>
            </w:r>
          </w:p>
        </w:tc>
        <w:tc>
          <w:tcPr>
            <w:tcW w:w="2680" w:type="dxa"/>
            <w:vAlign w:val="bottom"/>
          </w:tcPr>
          <w:p>
            <w:pPr>
              <w:ind w:left="1060"/>
              <w:spacing w:after="0"/>
              <w:rPr>
                <w:sz w:val="20"/>
                <w:szCs w:val="20"/>
                <w:color w:val="auto"/>
              </w:rPr>
            </w:pPr>
            <w:r>
              <w:rPr>
                <w:rFonts w:ascii="Arial" w:cs="Arial" w:eastAsia="Arial" w:hAnsi="Arial"/>
                <w:sz w:val="16"/>
                <w:szCs w:val="16"/>
                <w:color w:val="auto"/>
              </w:rPr>
              <w:t>industry in safety</w:t>
            </w:r>
          </w:p>
        </w:tc>
        <w:tc>
          <w:tcPr>
            <w:tcW w:w="0" w:type="dxa"/>
            <w:vAlign w:val="bottom"/>
          </w:tcPr>
          <w:p>
            <w:pPr>
              <w:spacing w:after="0"/>
              <w:rPr>
                <w:sz w:val="1"/>
                <w:szCs w:val="1"/>
                <w:color w:val="auto"/>
              </w:rPr>
            </w:pPr>
          </w:p>
        </w:tc>
      </w:tr>
      <w:tr>
        <w:trPr>
          <w:trHeight w:val="47"/>
        </w:trPr>
        <w:tc>
          <w:tcPr>
            <w:tcW w:w="2840" w:type="dxa"/>
            <w:vAlign w:val="bottom"/>
            <w:vMerge w:val="continue"/>
          </w:tcPr>
          <w:p>
            <w:pPr>
              <w:spacing w:after="0"/>
              <w:rPr>
                <w:sz w:val="4"/>
                <w:szCs w:val="4"/>
                <w:color w:val="auto"/>
              </w:rPr>
            </w:pPr>
          </w:p>
        </w:tc>
        <w:tc>
          <w:tcPr>
            <w:tcW w:w="2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840" w:type="dxa"/>
            <w:vAlign w:val="bottom"/>
          </w:tcPr>
          <w:p>
            <w:pPr>
              <w:spacing w:after="0"/>
              <w:rPr>
                <w:sz w:val="20"/>
                <w:szCs w:val="20"/>
                <w:color w:val="auto"/>
              </w:rPr>
            </w:pPr>
            <w:r>
              <w:rPr>
                <w:rFonts w:ascii="Arial" w:cs="Arial" w:eastAsia="Arial" w:hAnsi="Arial"/>
                <w:sz w:val="16"/>
                <w:szCs w:val="16"/>
                <w:color w:val="auto"/>
              </w:rPr>
              <w:t>one-third by 2030</w:t>
            </w: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0"/>
        </w:trPr>
        <w:tc>
          <w:tcPr>
            <w:tcW w:w="2840" w:type="dxa"/>
            <w:vAlign w:val="bottom"/>
          </w:tcPr>
          <w:p>
            <w:pPr>
              <w:spacing w:after="0"/>
              <w:rPr>
                <w:sz w:val="20"/>
                <w:szCs w:val="20"/>
                <w:color w:val="auto"/>
              </w:rPr>
            </w:pPr>
            <w:r>
              <w:rPr>
                <w:rFonts w:ascii="Arial" w:cs="Arial" w:eastAsia="Arial" w:hAnsi="Arial"/>
                <w:sz w:val="16"/>
                <w:szCs w:val="16"/>
                <w:b w:val="1"/>
                <w:bCs w:val="1"/>
                <w:color w:val="00A4E4"/>
              </w:rPr>
              <w:t>Resource Conservation</w:t>
            </w:r>
          </w:p>
        </w:tc>
        <w:tc>
          <w:tcPr>
            <w:tcW w:w="2680" w:type="dxa"/>
            <w:vAlign w:val="bottom"/>
          </w:tcPr>
          <w:p>
            <w:pPr>
              <w:ind w:left="1060"/>
              <w:spacing w:after="0"/>
              <w:rPr>
                <w:sz w:val="20"/>
                <w:szCs w:val="20"/>
                <w:color w:val="auto"/>
              </w:rPr>
            </w:pPr>
            <w:r>
              <w:rPr>
                <w:rFonts w:ascii="Arial" w:cs="Arial" w:eastAsia="Arial" w:hAnsi="Arial"/>
                <w:sz w:val="16"/>
                <w:szCs w:val="16"/>
                <w:b w:val="1"/>
                <w:bCs w:val="1"/>
                <w:color w:val="F58028"/>
              </w:rPr>
              <w:t>Talent and Diversity</w:t>
            </w:r>
          </w:p>
        </w:tc>
        <w:tc>
          <w:tcPr>
            <w:tcW w:w="0" w:type="dxa"/>
            <w:vAlign w:val="bottom"/>
          </w:tcPr>
          <w:p>
            <w:pPr>
              <w:spacing w:after="0"/>
              <w:rPr>
                <w:sz w:val="1"/>
                <w:szCs w:val="1"/>
                <w:color w:val="auto"/>
              </w:rPr>
            </w:pPr>
          </w:p>
        </w:tc>
      </w:tr>
      <w:tr>
        <w:trPr>
          <w:trHeight w:val="186"/>
        </w:trPr>
        <w:tc>
          <w:tcPr>
            <w:tcW w:w="2840" w:type="dxa"/>
            <w:vAlign w:val="bottom"/>
          </w:tcPr>
          <w:p>
            <w:pPr>
              <w:spacing w:after="0"/>
              <w:rPr>
                <w:sz w:val="20"/>
                <w:szCs w:val="20"/>
                <w:color w:val="auto"/>
              </w:rPr>
            </w:pPr>
            <w:r>
              <w:rPr>
                <w:rFonts w:ascii="Arial" w:cs="Arial" w:eastAsia="Arial" w:hAnsi="Arial"/>
                <w:sz w:val="16"/>
                <w:szCs w:val="16"/>
                <w:color w:val="auto"/>
              </w:rPr>
              <w:t>Increase energy</w:t>
            </w:r>
          </w:p>
        </w:tc>
        <w:tc>
          <w:tcPr>
            <w:tcW w:w="2680" w:type="dxa"/>
            <w:vAlign w:val="bottom"/>
          </w:tcPr>
          <w:p>
            <w:pPr>
              <w:ind w:left="1060"/>
              <w:spacing w:after="0"/>
              <w:rPr>
                <w:sz w:val="20"/>
                <w:szCs w:val="20"/>
                <w:color w:val="auto"/>
              </w:rPr>
            </w:pPr>
            <w:r>
              <w:rPr>
                <w:rFonts w:ascii="Arial" w:cs="Arial" w:eastAsia="Arial" w:hAnsi="Arial"/>
                <w:sz w:val="16"/>
                <w:szCs w:val="16"/>
                <w:color w:val="auto"/>
              </w:rPr>
              <w:t>Increase diversity in</w:t>
            </w:r>
          </w:p>
        </w:tc>
        <w:tc>
          <w:tcPr>
            <w:tcW w:w="0" w:type="dxa"/>
            <w:vAlign w:val="bottom"/>
          </w:tcPr>
          <w:p>
            <w:pPr>
              <w:spacing w:after="0"/>
              <w:rPr>
                <w:sz w:val="1"/>
                <w:szCs w:val="1"/>
                <w:color w:val="auto"/>
              </w:rPr>
            </w:pPr>
          </w:p>
        </w:tc>
      </w:tr>
      <w:tr>
        <w:trPr>
          <w:trHeight w:val="186"/>
        </w:trPr>
        <w:tc>
          <w:tcPr>
            <w:tcW w:w="2840" w:type="dxa"/>
            <w:vAlign w:val="bottom"/>
          </w:tcPr>
          <w:p>
            <w:pPr>
              <w:spacing w:after="0"/>
              <w:rPr>
                <w:sz w:val="20"/>
                <w:szCs w:val="20"/>
                <w:color w:val="auto"/>
              </w:rPr>
            </w:pPr>
            <w:r>
              <w:rPr>
                <w:rFonts w:ascii="Arial" w:cs="Arial" w:eastAsia="Arial" w:hAnsi="Arial"/>
                <w:sz w:val="16"/>
                <w:szCs w:val="16"/>
                <w:color w:val="auto"/>
              </w:rPr>
              <w:t>efficiency and promote</w:t>
            </w:r>
          </w:p>
        </w:tc>
        <w:tc>
          <w:tcPr>
            <w:tcW w:w="2680" w:type="dxa"/>
            <w:vAlign w:val="bottom"/>
          </w:tcPr>
          <w:p>
            <w:pPr>
              <w:ind w:left="1060"/>
              <w:spacing w:after="0"/>
              <w:rPr>
                <w:sz w:val="20"/>
                <w:szCs w:val="20"/>
                <w:color w:val="auto"/>
              </w:rPr>
            </w:pPr>
            <w:r>
              <w:rPr>
                <w:rFonts w:ascii="Arial" w:cs="Arial" w:eastAsia="Arial" w:hAnsi="Arial"/>
                <w:sz w:val="16"/>
                <w:szCs w:val="16"/>
                <w:color w:val="auto"/>
              </w:rPr>
              <w:t>professional and</w:t>
            </w:r>
          </w:p>
        </w:tc>
        <w:tc>
          <w:tcPr>
            <w:tcW w:w="0" w:type="dxa"/>
            <w:vAlign w:val="bottom"/>
          </w:tcPr>
          <w:p>
            <w:pPr>
              <w:spacing w:after="0"/>
              <w:rPr>
                <w:sz w:val="1"/>
                <w:szCs w:val="1"/>
                <w:color w:val="auto"/>
              </w:rPr>
            </w:pPr>
          </w:p>
        </w:tc>
      </w:tr>
      <w:tr>
        <w:trPr>
          <w:trHeight w:val="186"/>
        </w:trPr>
        <w:tc>
          <w:tcPr>
            <w:tcW w:w="2840" w:type="dxa"/>
            <w:vAlign w:val="bottom"/>
          </w:tcPr>
          <w:p>
            <w:pPr>
              <w:spacing w:after="0"/>
              <w:rPr>
                <w:sz w:val="20"/>
                <w:szCs w:val="20"/>
                <w:color w:val="auto"/>
              </w:rPr>
            </w:pPr>
            <w:r>
              <w:rPr>
                <w:rFonts w:ascii="Arial" w:cs="Arial" w:eastAsia="Arial" w:hAnsi="Arial"/>
                <w:sz w:val="16"/>
                <w:szCs w:val="16"/>
                <w:color w:val="auto"/>
              </w:rPr>
              <w:t>the responsible use of</w:t>
            </w:r>
          </w:p>
        </w:tc>
        <w:tc>
          <w:tcPr>
            <w:tcW w:w="2680" w:type="dxa"/>
            <w:vAlign w:val="bottom"/>
          </w:tcPr>
          <w:p>
            <w:pPr>
              <w:ind w:left="1060"/>
              <w:spacing w:after="0"/>
              <w:rPr>
                <w:sz w:val="20"/>
                <w:szCs w:val="20"/>
                <w:color w:val="auto"/>
              </w:rPr>
            </w:pPr>
            <w:r>
              <w:rPr>
                <w:rFonts w:ascii="Arial" w:cs="Arial" w:eastAsia="Arial" w:hAnsi="Arial"/>
                <w:sz w:val="16"/>
                <w:szCs w:val="16"/>
                <w:color w:val="auto"/>
              </w:rPr>
              <w:t>managerial roles</w:t>
            </w:r>
          </w:p>
        </w:tc>
        <w:tc>
          <w:tcPr>
            <w:tcW w:w="0" w:type="dxa"/>
            <w:vAlign w:val="bottom"/>
          </w:tcPr>
          <w:p>
            <w:pPr>
              <w:spacing w:after="0"/>
              <w:rPr>
                <w:sz w:val="1"/>
                <w:szCs w:val="1"/>
                <w:color w:val="auto"/>
              </w:rPr>
            </w:pPr>
          </w:p>
        </w:tc>
      </w:tr>
      <w:tr>
        <w:trPr>
          <w:trHeight w:val="193"/>
        </w:trPr>
        <w:tc>
          <w:tcPr>
            <w:tcW w:w="2840" w:type="dxa"/>
            <w:vAlign w:val="bottom"/>
          </w:tcPr>
          <w:p>
            <w:pPr>
              <w:spacing w:after="0"/>
              <w:rPr>
                <w:sz w:val="20"/>
                <w:szCs w:val="20"/>
                <w:color w:val="auto"/>
              </w:rPr>
            </w:pPr>
            <w:r>
              <w:rPr>
                <w:rFonts w:ascii="Arial" w:cs="Arial" w:eastAsia="Arial" w:hAnsi="Arial"/>
                <w:sz w:val="16"/>
                <w:szCs w:val="16"/>
                <w:color w:val="auto"/>
              </w:rPr>
              <w:t>water</w:t>
            </w: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-1255395</wp:posOffset>
            </wp:positionV>
            <wp:extent cx="253365" cy="1778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53365" cy="177800"/>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-596265</wp:posOffset>
            </wp:positionV>
            <wp:extent cx="253365" cy="262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53365" cy="262255"/>
                    </a:xfrm>
                    <a:prstGeom prst="rect">
                      <a:avLst/>
                    </a:prstGeom>
                    <a:noFill/>
                  </pic:spPr>
                </pic:pic>
              </a:graphicData>
            </a:graphic>
          </wp:anchor>
        </w:drawing>
      </w:r>
    </w:p>
    <w:p>
      <w:pPr>
        <w:spacing w:after="0" w:line="342" w:lineRule="exact"/>
        <w:rPr>
          <w:sz w:val="20"/>
          <w:szCs w:val="20"/>
          <w:color w:val="auto"/>
        </w:rPr>
      </w:pPr>
    </w:p>
    <w:p>
      <w:pPr>
        <w:sectPr>
          <w:pgSz w:w="11900" w:h="16838" w:orient="portrait"/>
          <w:cols w:equalWidth="0" w:num="2">
            <w:col w:w="4920" w:space="720"/>
            <w:col w:w="5600"/>
          </w:cols>
          <w:pgMar w:left="320" w:top="140" w:right="339" w:bottom="1440" w:gutter="0" w:footer="0" w:header="0"/>
          <w:type w:val="continuous"/>
        </w:sectPr>
      </w:pPr>
    </w:p>
    <w:p>
      <w:pPr>
        <w:ind w:left="240" w:hanging="234"/>
        <w:spacing w:after="0"/>
        <w:tabs>
          <w:tab w:leader="none" w:pos="2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are non-GAAP financial measures. See “Sustainability 2021 Reconciliation of Non-GAAP Financial Measures” for reconciliation to the comparable 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190500</wp:posOffset>
            </wp:positionV>
            <wp:extent cx="845185" cy="2025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45185" cy="202565"/>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140970</wp:posOffset>
            </wp:positionV>
            <wp:extent cx="7155180" cy="209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379"/>
        </w:trPr>
        <w:tc>
          <w:tcPr>
            <w:tcW w:w="400" w:type="dxa"/>
            <w:vAlign w:val="bottom"/>
            <w:tcBorders>
              <w:bottom w:val="single" w:sz="8" w:color="F2F7EB"/>
            </w:tcBorders>
            <w:shd w:val="clear" w:color="auto" w:fill="F2F7EB"/>
          </w:tcPr>
          <w:p>
            <w:pPr>
              <w:spacing w:after="0"/>
              <w:rPr>
                <w:sz w:val="24"/>
                <w:szCs w:val="24"/>
                <w:color w:val="auto"/>
              </w:rPr>
            </w:pPr>
          </w:p>
        </w:tc>
        <w:tc>
          <w:tcPr>
            <w:tcW w:w="1260" w:type="dxa"/>
            <w:vAlign w:val="bottom"/>
            <w:tcBorders>
              <w:bottom w:val="single" w:sz="8" w:color="91BC5E"/>
            </w:tcBorders>
            <w:shd w:val="clear" w:color="auto" w:fill="F2F7EB"/>
          </w:tcPr>
          <w:p>
            <w:pPr>
              <w:spacing w:after="0"/>
              <w:rPr>
                <w:sz w:val="24"/>
                <w:szCs w:val="24"/>
                <w:color w:val="auto"/>
              </w:rPr>
            </w:pPr>
          </w:p>
        </w:tc>
        <w:tc>
          <w:tcPr>
            <w:tcW w:w="400" w:type="dxa"/>
            <w:vAlign w:val="bottom"/>
            <w:tcBorders>
              <w:bottom w:val="single" w:sz="8" w:color="F2F7EB"/>
            </w:tcBorders>
            <w:shd w:val="clear" w:color="auto" w:fill="F2F7EB"/>
          </w:tcPr>
          <w:p>
            <w:pPr>
              <w:spacing w:after="0"/>
              <w:rPr>
                <w:sz w:val="24"/>
                <w:szCs w:val="24"/>
                <w:color w:val="auto"/>
              </w:rPr>
            </w:pPr>
          </w:p>
        </w:tc>
        <w:tc>
          <w:tcPr>
            <w:tcW w:w="3680" w:type="dxa"/>
            <w:vAlign w:val="bottom"/>
            <w:tcBorders>
              <w:bottom w:val="single" w:sz="8" w:color="91BC5E"/>
            </w:tcBorders>
            <w:shd w:val="clear" w:color="auto" w:fill="F2F7EB"/>
          </w:tcPr>
          <w:p>
            <w:pPr>
              <w:spacing w:after="0"/>
              <w:rPr>
                <w:sz w:val="24"/>
                <w:szCs w:val="24"/>
                <w:color w:val="auto"/>
              </w:rPr>
            </w:pPr>
          </w:p>
        </w:tc>
        <w:tc>
          <w:tcPr>
            <w:tcW w:w="340" w:type="dxa"/>
            <w:vAlign w:val="bottom"/>
            <w:tcBorders>
              <w:bottom w:val="single" w:sz="8" w:color="91BC5E"/>
            </w:tcBorders>
            <w:shd w:val="clear" w:color="auto" w:fill="F2F7EB"/>
          </w:tcPr>
          <w:p>
            <w:pPr>
              <w:spacing w:after="0"/>
              <w:rPr>
                <w:sz w:val="24"/>
                <w:szCs w:val="24"/>
                <w:color w:val="auto"/>
              </w:rPr>
            </w:pPr>
          </w:p>
        </w:tc>
        <w:tc>
          <w:tcPr>
            <w:tcW w:w="1280" w:type="dxa"/>
            <w:vAlign w:val="bottom"/>
            <w:tcBorders>
              <w:bottom w:val="single" w:sz="8" w:color="91BC5E"/>
            </w:tcBorders>
            <w:shd w:val="clear" w:color="auto" w:fill="F2F7EB"/>
          </w:tcPr>
          <w:p>
            <w:pPr>
              <w:spacing w:after="0"/>
              <w:rPr>
                <w:sz w:val="24"/>
                <w:szCs w:val="24"/>
                <w:color w:val="auto"/>
              </w:rPr>
            </w:pPr>
          </w:p>
        </w:tc>
        <w:tc>
          <w:tcPr>
            <w:tcW w:w="400" w:type="dxa"/>
            <w:vAlign w:val="bottom"/>
            <w:tcBorders>
              <w:bottom w:val="single" w:sz="8" w:color="F2F7EB"/>
            </w:tcBorders>
            <w:shd w:val="clear" w:color="auto" w:fill="F2F7EB"/>
          </w:tcPr>
          <w:p>
            <w:pPr>
              <w:spacing w:after="0"/>
              <w:rPr>
                <w:sz w:val="24"/>
                <w:szCs w:val="24"/>
                <w:color w:val="auto"/>
              </w:rPr>
            </w:pPr>
          </w:p>
        </w:tc>
        <w:tc>
          <w:tcPr>
            <w:tcW w:w="220" w:type="dxa"/>
            <w:vAlign w:val="bottom"/>
          </w:tcPr>
          <w:p>
            <w:pPr>
              <w:spacing w:after="0"/>
              <w:rPr>
                <w:sz w:val="24"/>
                <w:szCs w:val="24"/>
                <w:color w:val="auto"/>
              </w:rPr>
            </w:pPr>
          </w:p>
        </w:tc>
        <w:tc>
          <w:tcPr>
            <w:tcW w:w="3240" w:type="dxa"/>
            <w:vAlign w:val="bottom"/>
            <w:tcBorders>
              <w:bottom w:val="single" w:sz="8" w:color="E7E7E8"/>
            </w:tcBorders>
            <w:shd w:val="clear" w:color="auto" w:fill="E7E7E8"/>
          </w:tcPr>
          <w:p>
            <w:pPr>
              <w:jc w:val="center"/>
              <w:spacing w:after="0"/>
              <w:rPr>
                <w:sz w:val="20"/>
                <w:szCs w:val="20"/>
                <w:color w:val="auto"/>
              </w:rPr>
            </w:pPr>
            <w:r>
              <w:rPr>
                <w:rFonts w:ascii="Arial" w:cs="Arial" w:eastAsia="Arial" w:hAnsi="Arial"/>
                <w:sz w:val="16"/>
                <w:szCs w:val="16"/>
                <w:color w:val="auto"/>
              </w:rPr>
              <w:t>Our products enabled</w:t>
            </w:r>
          </w:p>
        </w:tc>
        <w:tc>
          <w:tcPr>
            <w:tcW w:w="0" w:type="dxa"/>
            <w:vAlign w:val="bottom"/>
          </w:tcPr>
          <w:p>
            <w:pPr>
              <w:spacing w:after="0"/>
              <w:rPr>
                <w:sz w:val="1"/>
                <w:szCs w:val="1"/>
                <w:color w:val="auto"/>
              </w:rPr>
            </w:pPr>
          </w:p>
        </w:tc>
      </w:tr>
      <w:tr>
        <w:trPr>
          <w:trHeight w:val="148"/>
        </w:trPr>
        <w:tc>
          <w:tcPr>
            <w:tcW w:w="400" w:type="dxa"/>
            <w:vAlign w:val="bottom"/>
            <w:shd w:val="clear" w:color="auto" w:fill="F2F7EB"/>
          </w:tcPr>
          <w:p>
            <w:pPr>
              <w:spacing w:after="0"/>
              <w:rPr>
                <w:sz w:val="12"/>
                <w:szCs w:val="12"/>
                <w:color w:val="auto"/>
              </w:rPr>
            </w:pPr>
          </w:p>
        </w:tc>
        <w:tc>
          <w:tcPr>
            <w:tcW w:w="1260" w:type="dxa"/>
            <w:vAlign w:val="bottom"/>
            <w:shd w:val="clear" w:color="auto" w:fill="F2F7EB"/>
          </w:tcPr>
          <w:p>
            <w:pPr>
              <w:spacing w:after="0"/>
              <w:rPr>
                <w:sz w:val="12"/>
                <w:szCs w:val="12"/>
                <w:color w:val="auto"/>
              </w:rPr>
            </w:pPr>
          </w:p>
        </w:tc>
        <w:tc>
          <w:tcPr>
            <w:tcW w:w="400" w:type="dxa"/>
            <w:vAlign w:val="bottom"/>
            <w:shd w:val="clear" w:color="auto" w:fill="F2F7EB"/>
          </w:tcPr>
          <w:p>
            <w:pPr>
              <w:spacing w:after="0"/>
              <w:rPr>
                <w:sz w:val="12"/>
                <w:szCs w:val="12"/>
                <w:color w:val="auto"/>
              </w:rPr>
            </w:pPr>
          </w:p>
        </w:tc>
        <w:tc>
          <w:tcPr>
            <w:tcW w:w="3680" w:type="dxa"/>
            <w:vAlign w:val="bottom"/>
            <w:shd w:val="clear" w:color="auto" w:fill="F2F7EB"/>
          </w:tcPr>
          <w:p>
            <w:pPr>
              <w:spacing w:after="0"/>
              <w:rPr>
                <w:sz w:val="12"/>
                <w:szCs w:val="12"/>
                <w:color w:val="auto"/>
              </w:rPr>
            </w:pPr>
          </w:p>
        </w:tc>
        <w:tc>
          <w:tcPr>
            <w:tcW w:w="340" w:type="dxa"/>
            <w:vAlign w:val="bottom"/>
            <w:shd w:val="clear" w:color="auto" w:fill="F2F7EB"/>
          </w:tcPr>
          <w:p>
            <w:pPr>
              <w:spacing w:after="0"/>
              <w:rPr>
                <w:sz w:val="12"/>
                <w:szCs w:val="12"/>
                <w:color w:val="auto"/>
              </w:rPr>
            </w:pPr>
          </w:p>
        </w:tc>
        <w:tc>
          <w:tcPr>
            <w:tcW w:w="1280" w:type="dxa"/>
            <w:vAlign w:val="bottom"/>
            <w:shd w:val="clear" w:color="auto" w:fill="F2F7EB"/>
          </w:tcPr>
          <w:p>
            <w:pPr>
              <w:spacing w:after="0"/>
              <w:rPr>
                <w:sz w:val="12"/>
                <w:szCs w:val="12"/>
                <w:color w:val="auto"/>
              </w:rPr>
            </w:pPr>
          </w:p>
        </w:tc>
        <w:tc>
          <w:tcPr>
            <w:tcW w:w="400" w:type="dxa"/>
            <w:vAlign w:val="bottom"/>
            <w:shd w:val="clear" w:color="auto" w:fill="F2F7EB"/>
          </w:tcPr>
          <w:p>
            <w:pPr>
              <w:spacing w:after="0"/>
              <w:rPr>
                <w:sz w:val="12"/>
                <w:szCs w:val="12"/>
                <w:color w:val="auto"/>
              </w:rPr>
            </w:pPr>
          </w:p>
        </w:tc>
        <w:tc>
          <w:tcPr>
            <w:tcW w:w="220" w:type="dxa"/>
            <w:vAlign w:val="bottom"/>
          </w:tcPr>
          <w:p>
            <w:pPr>
              <w:spacing w:after="0"/>
              <w:rPr>
                <w:sz w:val="12"/>
                <w:szCs w:val="12"/>
                <w:color w:val="auto"/>
              </w:rPr>
            </w:pPr>
          </w:p>
        </w:tc>
        <w:tc>
          <w:tcPr>
            <w:tcW w:w="3240" w:type="dxa"/>
            <w:vAlign w:val="bottom"/>
            <w:shd w:val="clear" w:color="auto" w:fill="E7E7E8"/>
          </w:tcPr>
          <w:p>
            <w:pPr>
              <w:jc w:val="center"/>
              <w:spacing w:after="0" w:line="148" w:lineRule="exact"/>
              <w:rPr>
                <w:sz w:val="20"/>
                <w:szCs w:val="20"/>
                <w:color w:val="auto"/>
              </w:rPr>
            </w:pPr>
            <w:r>
              <w:rPr>
                <w:rFonts w:ascii="Arial" w:cs="Arial" w:eastAsia="Arial" w:hAnsi="Arial"/>
                <w:sz w:val="16"/>
                <w:szCs w:val="16"/>
                <w:color w:val="auto"/>
                <w:w w:val="99"/>
              </w:rPr>
              <w:t>our customers and their</w:t>
            </w:r>
          </w:p>
        </w:tc>
        <w:tc>
          <w:tcPr>
            <w:tcW w:w="0" w:type="dxa"/>
            <w:vAlign w:val="bottom"/>
          </w:tcPr>
          <w:p>
            <w:pPr>
              <w:spacing w:after="0"/>
              <w:rPr>
                <w:sz w:val="1"/>
                <w:szCs w:val="1"/>
                <w:color w:val="auto"/>
              </w:rPr>
            </w:pPr>
          </w:p>
        </w:tc>
      </w:tr>
      <w:tr>
        <w:trPr>
          <w:trHeight w:val="188"/>
        </w:trPr>
        <w:tc>
          <w:tcPr>
            <w:tcW w:w="400" w:type="dxa"/>
            <w:vAlign w:val="bottom"/>
            <w:shd w:val="clear" w:color="auto" w:fill="F2F7EB"/>
          </w:tcPr>
          <w:p>
            <w:pPr>
              <w:spacing w:after="0"/>
              <w:rPr>
                <w:sz w:val="16"/>
                <w:szCs w:val="16"/>
                <w:color w:val="auto"/>
              </w:rPr>
            </w:pPr>
          </w:p>
        </w:tc>
        <w:tc>
          <w:tcPr>
            <w:tcW w:w="1260" w:type="dxa"/>
            <w:vAlign w:val="bottom"/>
            <w:shd w:val="clear" w:color="auto" w:fill="F2F7EB"/>
          </w:tcPr>
          <w:p>
            <w:pPr>
              <w:spacing w:after="0"/>
              <w:rPr>
                <w:sz w:val="16"/>
                <w:szCs w:val="16"/>
                <w:color w:val="auto"/>
              </w:rPr>
            </w:pPr>
          </w:p>
        </w:tc>
        <w:tc>
          <w:tcPr>
            <w:tcW w:w="400" w:type="dxa"/>
            <w:vAlign w:val="bottom"/>
            <w:shd w:val="clear" w:color="auto" w:fill="F2F7EB"/>
          </w:tcPr>
          <w:p>
            <w:pPr>
              <w:spacing w:after="0"/>
              <w:rPr>
                <w:sz w:val="16"/>
                <w:szCs w:val="16"/>
                <w:color w:val="auto"/>
              </w:rPr>
            </w:pPr>
          </w:p>
        </w:tc>
        <w:tc>
          <w:tcPr>
            <w:tcW w:w="3680" w:type="dxa"/>
            <w:vAlign w:val="bottom"/>
            <w:shd w:val="clear" w:color="auto" w:fill="F2F7EB"/>
          </w:tcPr>
          <w:p>
            <w:pPr>
              <w:spacing w:after="0"/>
              <w:rPr>
                <w:sz w:val="16"/>
                <w:szCs w:val="16"/>
                <w:color w:val="auto"/>
              </w:rPr>
            </w:pPr>
          </w:p>
        </w:tc>
        <w:tc>
          <w:tcPr>
            <w:tcW w:w="340" w:type="dxa"/>
            <w:vAlign w:val="bottom"/>
            <w:shd w:val="clear" w:color="auto" w:fill="F2F7EB"/>
          </w:tcPr>
          <w:p>
            <w:pPr>
              <w:spacing w:after="0"/>
              <w:rPr>
                <w:sz w:val="16"/>
                <w:szCs w:val="16"/>
                <w:color w:val="auto"/>
              </w:rPr>
            </w:pPr>
          </w:p>
        </w:tc>
        <w:tc>
          <w:tcPr>
            <w:tcW w:w="1280" w:type="dxa"/>
            <w:vAlign w:val="bottom"/>
            <w:shd w:val="clear" w:color="auto" w:fill="F2F7EB"/>
          </w:tcPr>
          <w:p>
            <w:pPr>
              <w:spacing w:after="0"/>
              <w:rPr>
                <w:sz w:val="16"/>
                <w:szCs w:val="16"/>
                <w:color w:val="auto"/>
              </w:rPr>
            </w:pPr>
          </w:p>
        </w:tc>
        <w:tc>
          <w:tcPr>
            <w:tcW w:w="400" w:type="dxa"/>
            <w:vAlign w:val="bottom"/>
            <w:shd w:val="clear" w:color="auto" w:fill="F2F7EB"/>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shd w:val="clear" w:color="auto" w:fill="E7E7E8"/>
          </w:tcPr>
          <w:p>
            <w:pPr>
              <w:jc w:val="center"/>
              <w:spacing w:after="0"/>
              <w:rPr>
                <w:sz w:val="20"/>
                <w:szCs w:val="20"/>
                <w:color w:val="auto"/>
              </w:rPr>
            </w:pPr>
            <w:r>
              <w:rPr>
                <w:rFonts w:ascii="Arial" w:cs="Arial" w:eastAsia="Arial" w:hAnsi="Arial"/>
                <w:sz w:val="16"/>
                <w:szCs w:val="16"/>
                <w:color w:val="auto"/>
                <w:w w:val="99"/>
              </w:rPr>
              <w:t>customers to avoid</w:t>
            </w:r>
          </w:p>
        </w:tc>
        <w:tc>
          <w:tcPr>
            <w:tcW w:w="0" w:type="dxa"/>
            <w:vAlign w:val="bottom"/>
          </w:tcPr>
          <w:p>
            <w:pPr>
              <w:spacing w:after="0"/>
              <w:rPr>
                <w:sz w:val="1"/>
                <w:szCs w:val="1"/>
                <w:color w:val="auto"/>
              </w:rPr>
            </w:pPr>
          </w:p>
        </w:tc>
      </w:tr>
      <w:tr>
        <w:trPr>
          <w:trHeight w:val="36"/>
        </w:trPr>
        <w:tc>
          <w:tcPr>
            <w:tcW w:w="400" w:type="dxa"/>
            <w:vAlign w:val="bottom"/>
            <w:shd w:val="clear" w:color="auto" w:fill="F2F7EB"/>
          </w:tcPr>
          <w:p>
            <w:pPr>
              <w:spacing w:after="0"/>
              <w:rPr>
                <w:sz w:val="3"/>
                <w:szCs w:val="3"/>
                <w:color w:val="auto"/>
              </w:rPr>
            </w:pPr>
          </w:p>
        </w:tc>
        <w:tc>
          <w:tcPr>
            <w:tcW w:w="1260" w:type="dxa"/>
            <w:vAlign w:val="bottom"/>
            <w:vMerge w:val="restart"/>
            <w:shd w:val="clear" w:color="auto" w:fill="F2F7EB"/>
          </w:tcPr>
          <w:p>
            <w:pPr>
              <w:ind w:left="460"/>
              <w:spacing w:after="0"/>
              <w:rPr>
                <w:sz w:val="20"/>
                <w:szCs w:val="20"/>
                <w:color w:val="auto"/>
              </w:rPr>
            </w:pPr>
            <w:r>
              <w:rPr>
                <w:rFonts w:ascii="Arial" w:cs="Arial" w:eastAsia="Arial" w:hAnsi="Arial"/>
                <w:sz w:val="18"/>
                <w:szCs w:val="18"/>
                <w:color w:val="auto"/>
                <w:w w:val="88"/>
              </w:rPr>
              <w:t>Put simply,</w:t>
            </w:r>
          </w:p>
        </w:tc>
        <w:tc>
          <w:tcPr>
            <w:tcW w:w="6100" w:type="dxa"/>
            <w:vAlign w:val="bottom"/>
            <w:gridSpan w:val="5"/>
            <w:vMerge w:val="restart"/>
            <w:shd w:val="clear" w:color="auto" w:fill="F2F7EB"/>
          </w:tcPr>
          <w:p>
            <w:pPr>
              <w:ind w:left="120"/>
              <w:spacing w:after="0"/>
              <w:rPr>
                <w:sz w:val="20"/>
                <w:szCs w:val="20"/>
                <w:color w:val="auto"/>
              </w:rPr>
            </w:pPr>
            <w:r>
              <w:rPr>
                <w:rFonts w:ascii="Arial" w:cs="Arial" w:eastAsia="Arial" w:hAnsi="Arial"/>
                <w:sz w:val="18"/>
                <w:szCs w:val="18"/>
                <w:color w:val="auto"/>
              </w:rPr>
              <w:t>sustainability is our growth strategy at Air Products. Sustainability</w:t>
            </w:r>
          </w:p>
        </w:tc>
        <w:tc>
          <w:tcPr>
            <w:tcW w:w="220" w:type="dxa"/>
            <w:vAlign w:val="bottom"/>
          </w:tcPr>
          <w:p>
            <w:pPr>
              <w:spacing w:after="0"/>
              <w:rPr>
                <w:sz w:val="3"/>
                <w:szCs w:val="3"/>
                <w:color w:val="auto"/>
              </w:rPr>
            </w:pPr>
          </w:p>
        </w:tc>
        <w:tc>
          <w:tcPr>
            <w:tcW w:w="3240" w:type="dxa"/>
            <w:vAlign w:val="bottom"/>
            <w:shd w:val="clear" w:color="auto" w:fill="E7E7E8"/>
          </w:tcPr>
          <w:p>
            <w:pPr>
              <w:jc w:val="center"/>
              <w:spacing w:after="0" w:line="37" w:lineRule="exact"/>
              <w:rPr>
                <w:sz w:val="20"/>
                <w:szCs w:val="20"/>
                <w:color w:val="auto"/>
              </w:rPr>
            </w:pPr>
            <w:r>
              <w:rPr>
                <w:rFonts w:ascii="Arial" w:cs="Arial" w:eastAsia="Arial" w:hAnsi="Arial"/>
                <w:sz w:val="4"/>
                <w:szCs w:val="4"/>
                <w:color w:val="009844"/>
              </w:rPr>
              <w:t>72 Million</w:t>
            </w:r>
          </w:p>
        </w:tc>
        <w:tc>
          <w:tcPr>
            <w:tcW w:w="0" w:type="dxa"/>
            <w:vAlign w:val="bottom"/>
          </w:tcPr>
          <w:p>
            <w:pPr>
              <w:spacing w:after="0" w:line="20" w:lineRule="exact"/>
              <w:rPr>
                <w:sz w:val="1"/>
                <w:szCs w:val="1"/>
                <w:color w:val="auto"/>
              </w:rPr>
            </w:pPr>
          </w:p>
        </w:tc>
      </w:tr>
      <w:tr>
        <w:trPr>
          <w:trHeight w:val="199"/>
        </w:trPr>
        <w:tc>
          <w:tcPr>
            <w:tcW w:w="400" w:type="dxa"/>
            <w:vAlign w:val="bottom"/>
            <w:shd w:val="clear" w:color="auto" w:fill="F2F7EB"/>
          </w:tcPr>
          <w:p>
            <w:pPr>
              <w:spacing w:after="0"/>
              <w:rPr>
                <w:sz w:val="17"/>
                <w:szCs w:val="17"/>
                <w:color w:val="auto"/>
              </w:rPr>
            </w:pPr>
          </w:p>
        </w:tc>
        <w:tc>
          <w:tcPr>
            <w:tcW w:w="1260" w:type="dxa"/>
            <w:vAlign w:val="bottom"/>
            <w:vMerge w:val="continue"/>
            <w:shd w:val="clear" w:color="auto" w:fill="F2F7EB"/>
          </w:tcPr>
          <w:p>
            <w:pPr>
              <w:spacing w:after="0"/>
              <w:rPr>
                <w:sz w:val="17"/>
                <w:szCs w:val="17"/>
                <w:color w:val="auto"/>
              </w:rPr>
            </w:pPr>
          </w:p>
        </w:tc>
        <w:tc>
          <w:tcPr>
            <w:tcW w:w="6100" w:type="dxa"/>
            <w:vAlign w:val="bottom"/>
            <w:gridSpan w:val="5"/>
            <w:vMerge w:val="continue"/>
            <w:shd w:val="clear" w:color="auto" w:fill="F2F7EB"/>
          </w:tcPr>
          <w:p>
            <w:pPr>
              <w:spacing w:after="0"/>
              <w:rPr>
                <w:sz w:val="17"/>
                <w:szCs w:val="17"/>
                <w:color w:val="auto"/>
              </w:rPr>
            </w:pPr>
          </w:p>
        </w:tc>
        <w:tc>
          <w:tcPr>
            <w:tcW w:w="220" w:type="dxa"/>
            <w:vAlign w:val="bottom"/>
          </w:tcPr>
          <w:p>
            <w:pPr>
              <w:spacing w:after="0"/>
              <w:rPr>
                <w:sz w:val="17"/>
                <w:szCs w:val="17"/>
                <w:color w:val="auto"/>
              </w:rPr>
            </w:pPr>
          </w:p>
        </w:tc>
        <w:tc>
          <w:tcPr>
            <w:tcW w:w="324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0" w:type="dxa"/>
            <w:vAlign w:val="bottom"/>
            <w:shd w:val="clear" w:color="auto" w:fill="F2F7EB"/>
          </w:tcPr>
          <w:p>
            <w:pPr>
              <w:spacing w:after="0"/>
              <w:rPr>
                <w:sz w:val="17"/>
                <w:szCs w:val="17"/>
                <w:color w:val="auto"/>
              </w:rPr>
            </w:pPr>
          </w:p>
        </w:tc>
        <w:tc>
          <w:tcPr>
            <w:tcW w:w="7360" w:type="dxa"/>
            <w:vAlign w:val="bottom"/>
            <w:gridSpan w:val="6"/>
            <w:shd w:val="clear" w:color="auto" w:fill="F2F7EB"/>
          </w:tcPr>
          <w:p>
            <w:pPr>
              <w:jc w:val="center"/>
              <w:ind w:right="400"/>
              <w:spacing w:after="0" w:line="200" w:lineRule="exact"/>
              <w:rPr>
                <w:sz w:val="20"/>
                <w:szCs w:val="20"/>
                <w:color w:val="auto"/>
              </w:rPr>
            </w:pPr>
            <w:r>
              <w:rPr>
                <w:rFonts w:ascii="Arial" w:cs="Arial" w:eastAsia="Arial" w:hAnsi="Arial"/>
                <w:sz w:val="18"/>
                <w:szCs w:val="18"/>
                <w:color w:val="auto"/>
                <w:w w:val="98"/>
              </w:rPr>
              <w:t>creates our growth opportunities, and our growth opportunities support our</w:t>
            </w:r>
          </w:p>
        </w:tc>
        <w:tc>
          <w:tcPr>
            <w:tcW w:w="220" w:type="dxa"/>
            <w:vAlign w:val="bottom"/>
          </w:tcPr>
          <w:p>
            <w:pPr>
              <w:spacing w:after="0"/>
              <w:rPr>
                <w:sz w:val="17"/>
                <w:szCs w:val="17"/>
                <w:color w:val="auto"/>
              </w:rPr>
            </w:pPr>
          </w:p>
        </w:tc>
        <w:tc>
          <w:tcPr>
            <w:tcW w:w="3240" w:type="dxa"/>
            <w:vAlign w:val="bottom"/>
            <w:vMerge w:val="restart"/>
            <w:shd w:val="clear" w:color="auto" w:fill="E7E7E8"/>
          </w:tcPr>
          <w:p>
            <w:pPr>
              <w:jc w:val="center"/>
              <w:spacing w:after="0"/>
              <w:rPr>
                <w:sz w:val="20"/>
                <w:szCs w:val="20"/>
                <w:color w:val="auto"/>
              </w:rPr>
            </w:pPr>
            <w:r>
              <w:rPr>
                <w:rFonts w:ascii="Arial" w:cs="Arial" w:eastAsia="Arial" w:hAnsi="Arial"/>
                <w:sz w:val="16"/>
                <w:szCs w:val="16"/>
                <w:color w:val="auto"/>
                <w:w w:val="98"/>
              </w:rPr>
              <w:t>metric tons of CO</w:t>
            </w:r>
            <w:r>
              <w:rPr>
                <w:rFonts w:ascii="Arial" w:cs="Arial" w:eastAsia="Arial" w:hAnsi="Arial"/>
                <w:sz w:val="26"/>
                <w:szCs w:val="26"/>
                <w:color w:val="auto"/>
                <w:w w:val="98"/>
                <w:vertAlign w:val="subscript"/>
              </w:rPr>
              <w:t>2</w:t>
            </w:r>
            <w:r>
              <w:rPr>
                <w:rFonts w:ascii="Arial" w:cs="Arial" w:eastAsia="Arial" w:hAnsi="Arial"/>
                <w:sz w:val="16"/>
                <w:szCs w:val="16"/>
                <w:color w:val="auto"/>
                <w:w w:val="98"/>
              </w:rPr>
              <w:t>e, which is</w:t>
            </w:r>
          </w:p>
        </w:tc>
        <w:tc>
          <w:tcPr>
            <w:tcW w:w="0" w:type="dxa"/>
            <w:vAlign w:val="bottom"/>
          </w:tcPr>
          <w:p>
            <w:pPr>
              <w:spacing w:after="0"/>
              <w:rPr>
                <w:sz w:val="1"/>
                <w:szCs w:val="1"/>
                <w:color w:val="auto"/>
              </w:rPr>
            </w:pPr>
          </w:p>
        </w:tc>
      </w:tr>
      <w:tr>
        <w:trPr>
          <w:trHeight w:val="161"/>
        </w:trPr>
        <w:tc>
          <w:tcPr>
            <w:tcW w:w="400" w:type="dxa"/>
            <w:vAlign w:val="bottom"/>
            <w:shd w:val="clear" w:color="auto" w:fill="F2F7EB"/>
          </w:tcPr>
          <w:p>
            <w:pPr>
              <w:spacing w:after="0"/>
              <w:rPr>
                <w:sz w:val="13"/>
                <w:szCs w:val="13"/>
                <w:color w:val="auto"/>
              </w:rPr>
            </w:pPr>
          </w:p>
        </w:tc>
        <w:tc>
          <w:tcPr>
            <w:tcW w:w="1260" w:type="dxa"/>
            <w:vAlign w:val="bottom"/>
            <w:shd w:val="clear" w:color="auto" w:fill="F2F7EB"/>
          </w:tcPr>
          <w:p>
            <w:pPr>
              <w:spacing w:after="0"/>
              <w:rPr>
                <w:sz w:val="13"/>
                <w:szCs w:val="13"/>
                <w:color w:val="auto"/>
              </w:rPr>
            </w:pPr>
          </w:p>
        </w:tc>
        <w:tc>
          <w:tcPr>
            <w:tcW w:w="400" w:type="dxa"/>
            <w:vAlign w:val="bottom"/>
            <w:shd w:val="clear" w:color="auto" w:fill="F2F7EB"/>
          </w:tcPr>
          <w:p>
            <w:pPr>
              <w:spacing w:after="0"/>
              <w:rPr>
                <w:sz w:val="13"/>
                <w:szCs w:val="13"/>
                <w:color w:val="auto"/>
              </w:rPr>
            </w:pPr>
          </w:p>
        </w:tc>
        <w:tc>
          <w:tcPr>
            <w:tcW w:w="5700" w:type="dxa"/>
            <w:vAlign w:val="bottom"/>
            <w:gridSpan w:val="4"/>
            <w:shd w:val="clear" w:color="auto" w:fill="F2F7EB"/>
          </w:tcPr>
          <w:p>
            <w:pPr>
              <w:jc w:val="center"/>
              <w:ind w:right="2060"/>
              <w:spacing w:after="0" w:line="161" w:lineRule="exact"/>
              <w:rPr>
                <w:sz w:val="20"/>
                <w:szCs w:val="20"/>
                <w:color w:val="auto"/>
              </w:rPr>
            </w:pPr>
            <w:r>
              <w:rPr>
                <w:rFonts w:ascii="Arial" w:cs="Arial" w:eastAsia="Arial" w:hAnsi="Arial"/>
                <w:sz w:val="18"/>
                <w:szCs w:val="18"/>
                <w:color w:val="auto"/>
                <w:w w:val="98"/>
              </w:rPr>
              <w:t>sustainability goals and focus.</w:t>
            </w:r>
          </w:p>
        </w:tc>
        <w:tc>
          <w:tcPr>
            <w:tcW w:w="220" w:type="dxa"/>
            <w:vAlign w:val="bottom"/>
          </w:tcPr>
          <w:p>
            <w:pPr>
              <w:spacing w:after="0"/>
              <w:rPr>
                <w:sz w:val="13"/>
                <w:szCs w:val="13"/>
                <w:color w:val="auto"/>
              </w:rPr>
            </w:pPr>
          </w:p>
        </w:tc>
        <w:tc>
          <w:tcPr>
            <w:tcW w:w="3240" w:type="dxa"/>
            <w:vAlign w:val="bottom"/>
            <w:vMerge w:val="continue"/>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00" w:type="dxa"/>
            <w:vAlign w:val="bottom"/>
            <w:shd w:val="clear" w:color="auto" w:fill="F2F7EB"/>
          </w:tcPr>
          <w:p>
            <w:pPr>
              <w:spacing w:after="0"/>
              <w:rPr>
                <w:sz w:val="15"/>
                <w:szCs w:val="15"/>
                <w:color w:val="auto"/>
              </w:rPr>
            </w:pPr>
          </w:p>
        </w:tc>
        <w:tc>
          <w:tcPr>
            <w:tcW w:w="1260" w:type="dxa"/>
            <w:vAlign w:val="bottom"/>
            <w:shd w:val="clear" w:color="auto" w:fill="F2F7EB"/>
          </w:tcPr>
          <w:p>
            <w:pPr>
              <w:spacing w:after="0"/>
              <w:rPr>
                <w:sz w:val="15"/>
                <w:szCs w:val="15"/>
                <w:color w:val="auto"/>
              </w:rPr>
            </w:pPr>
          </w:p>
        </w:tc>
        <w:tc>
          <w:tcPr>
            <w:tcW w:w="400" w:type="dxa"/>
            <w:vAlign w:val="bottom"/>
            <w:shd w:val="clear" w:color="auto" w:fill="F2F7EB"/>
          </w:tcPr>
          <w:p>
            <w:pPr>
              <w:spacing w:after="0"/>
              <w:rPr>
                <w:sz w:val="15"/>
                <w:szCs w:val="15"/>
                <w:color w:val="auto"/>
              </w:rPr>
            </w:pPr>
          </w:p>
        </w:tc>
        <w:tc>
          <w:tcPr>
            <w:tcW w:w="3680" w:type="dxa"/>
            <w:vAlign w:val="bottom"/>
            <w:shd w:val="clear" w:color="auto" w:fill="F2F7EB"/>
          </w:tcPr>
          <w:p>
            <w:pPr>
              <w:spacing w:after="0"/>
              <w:rPr>
                <w:sz w:val="15"/>
                <w:szCs w:val="15"/>
                <w:color w:val="auto"/>
              </w:rPr>
            </w:pPr>
          </w:p>
        </w:tc>
        <w:tc>
          <w:tcPr>
            <w:tcW w:w="340" w:type="dxa"/>
            <w:vAlign w:val="bottom"/>
            <w:shd w:val="clear" w:color="auto" w:fill="F2F7EB"/>
          </w:tcPr>
          <w:p>
            <w:pPr>
              <w:spacing w:after="0"/>
              <w:rPr>
                <w:sz w:val="15"/>
                <w:szCs w:val="15"/>
                <w:color w:val="auto"/>
              </w:rPr>
            </w:pPr>
          </w:p>
        </w:tc>
        <w:tc>
          <w:tcPr>
            <w:tcW w:w="1280" w:type="dxa"/>
            <w:vAlign w:val="bottom"/>
            <w:shd w:val="clear" w:color="auto" w:fill="F2F7EB"/>
          </w:tcPr>
          <w:p>
            <w:pPr>
              <w:spacing w:after="0"/>
              <w:rPr>
                <w:sz w:val="15"/>
                <w:szCs w:val="15"/>
                <w:color w:val="auto"/>
              </w:rPr>
            </w:pPr>
          </w:p>
        </w:tc>
        <w:tc>
          <w:tcPr>
            <w:tcW w:w="400" w:type="dxa"/>
            <w:vAlign w:val="bottom"/>
            <w:shd w:val="clear" w:color="auto" w:fill="F2F7EB"/>
          </w:tcPr>
          <w:p>
            <w:pPr>
              <w:spacing w:after="0"/>
              <w:rPr>
                <w:sz w:val="15"/>
                <w:szCs w:val="15"/>
                <w:color w:val="auto"/>
              </w:rPr>
            </w:pPr>
          </w:p>
        </w:tc>
        <w:tc>
          <w:tcPr>
            <w:tcW w:w="220" w:type="dxa"/>
            <w:vAlign w:val="bottom"/>
          </w:tcPr>
          <w:p>
            <w:pPr>
              <w:spacing w:after="0"/>
              <w:rPr>
                <w:sz w:val="15"/>
                <w:szCs w:val="15"/>
                <w:color w:val="auto"/>
              </w:rPr>
            </w:pPr>
          </w:p>
        </w:tc>
        <w:tc>
          <w:tcPr>
            <w:tcW w:w="3240" w:type="dxa"/>
            <w:vAlign w:val="bottom"/>
            <w:shd w:val="clear" w:color="auto" w:fill="E7E7E8"/>
          </w:tcPr>
          <w:p>
            <w:pPr>
              <w:jc w:val="center"/>
              <w:spacing w:after="0" w:line="175" w:lineRule="exact"/>
              <w:rPr>
                <w:sz w:val="20"/>
                <w:szCs w:val="20"/>
                <w:color w:val="auto"/>
              </w:rPr>
            </w:pPr>
            <w:r>
              <w:rPr>
                <w:rFonts w:ascii="Arial" w:cs="Arial" w:eastAsia="Arial" w:hAnsi="Arial"/>
                <w:sz w:val="16"/>
                <w:szCs w:val="16"/>
                <w:color w:val="auto"/>
              </w:rPr>
              <w:t>equivalent to the emissions</w:t>
            </w:r>
          </w:p>
        </w:tc>
        <w:tc>
          <w:tcPr>
            <w:tcW w:w="0" w:type="dxa"/>
            <w:vAlign w:val="bottom"/>
          </w:tcPr>
          <w:p>
            <w:pPr>
              <w:spacing w:after="0"/>
              <w:rPr>
                <w:sz w:val="1"/>
                <w:szCs w:val="1"/>
                <w:color w:val="auto"/>
              </w:rPr>
            </w:pPr>
          </w:p>
        </w:tc>
      </w:tr>
      <w:tr>
        <w:trPr>
          <w:trHeight w:val="186"/>
        </w:trPr>
        <w:tc>
          <w:tcPr>
            <w:tcW w:w="400" w:type="dxa"/>
            <w:vAlign w:val="bottom"/>
            <w:shd w:val="clear" w:color="auto" w:fill="F2F7EB"/>
          </w:tcPr>
          <w:p>
            <w:pPr>
              <w:spacing w:after="0"/>
              <w:rPr>
                <w:sz w:val="16"/>
                <w:szCs w:val="16"/>
                <w:color w:val="auto"/>
              </w:rPr>
            </w:pPr>
          </w:p>
        </w:tc>
        <w:tc>
          <w:tcPr>
            <w:tcW w:w="1260" w:type="dxa"/>
            <w:vAlign w:val="bottom"/>
            <w:shd w:val="clear" w:color="auto" w:fill="F2F7EB"/>
          </w:tcPr>
          <w:p>
            <w:pPr>
              <w:spacing w:after="0"/>
              <w:rPr>
                <w:sz w:val="16"/>
                <w:szCs w:val="16"/>
                <w:color w:val="auto"/>
              </w:rPr>
            </w:pPr>
          </w:p>
        </w:tc>
        <w:tc>
          <w:tcPr>
            <w:tcW w:w="400" w:type="dxa"/>
            <w:vAlign w:val="bottom"/>
            <w:shd w:val="clear" w:color="auto" w:fill="F2F7EB"/>
          </w:tcPr>
          <w:p>
            <w:pPr>
              <w:spacing w:after="0"/>
              <w:rPr>
                <w:sz w:val="16"/>
                <w:szCs w:val="16"/>
                <w:color w:val="auto"/>
              </w:rPr>
            </w:pPr>
          </w:p>
        </w:tc>
        <w:tc>
          <w:tcPr>
            <w:tcW w:w="5700" w:type="dxa"/>
            <w:vAlign w:val="bottom"/>
            <w:gridSpan w:val="4"/>
            <w:shd w:val="clear" w:color="auto" w:fill="F2F7EB"/>
          </w:tcPr>
          <w:p>
            <w:pPr>
              <w:ind w:left="1620"/>
              <w:spacing w:after="0" w:line="187" w:lineRule="exact"/>
              <w:rPr>
                <w:sz w:val="20"/>
                <w:szCs w:val="20"/>
                <w:color w:val="auto"/>
              </w:rPr>
            </w:pPr>
            <w:r>
              <w:rPr>
                <w:rFonts w:ascii="Arial" w:cs="Arial" w:eastAsia="Arial" w:hAnsi="Arial"/>
                <w:sz w:val="18"/>
                <w:szCs w:val="18"/>
                <w:color w:val="auto"/>
              </w:rPr>
              <w:t>Seifi Ghasemi</w:t>
            </w:r>
          </w:p>
        </w:tc>
        <w:tc>
          <w:tcPr>
            <w:tcW w:w="220" w:type="dxa"/>
            <w:vAlign w:val="bottom"/>
          </w:tcPr>
          <w:p>
            <w:pPr>
              <w:spacing w:after="0"/>
              <w:rPr>
                <w:sz w:val="16"/>
                <w:szCs w:val="16"/>
                <w:color w:val="auto"/>
              </w:rPr>
            </w:pPr>
          </w:p>
        </w:tc>
        <w:tc>
          <w:tcPr>
            <w:tcW w:w="3240" w:type="dxa"/>
            <w:vAlign w:val="bottom"/>
            <w:shd w:val="clear" w:color="auto" w:fill="E7E7E8"/>
          </w:tcPr>
          <w:p>
            <w:pPr>
              <w:jc w:val="center"/>
              <w:spacing w:after="0"/>
              <w:rPr>
                <w:sz w:val="20"/>
                <w:szCs w:val="20"/>
                <w:color w:val="auto"/>
              </w:rPr>
            </w:pPr>
            <w:r>
              <w:rPr>
                <w:rFonts w:ascii="Arial" w:cs="Arial" w:eastAsia="Arial" w:hAnsi="Arial"/>
                <w:sz w:val="16"/>
                <w:szCs w:val="16"/>
                <w:color w:val="auto"/>
                <w:w w:val="99"/>
              </w:rPr>
              <w:t>from approximately 16 million</w:t>
            </w:r>
          </w:p>
        </w:tc>
        <w:tc>
          <w:tcPr>
            <w:tcW w:w="0" w:type="dxa"/>
            <w:vAlign w:val="bottom"/>
          </w:tcPr>
          <w:p>
            <w:pPr>
              <w:spacing w:after="0"/>
              <w:rPr>
                <w:sz w:val="1"/>
                <w:szCs w:val="1"/>
                <w:color w:val="auto"/>
              </w:rPr>
            </w:pPr>
          </w:p>
        </w:tc>
      </w:tr>
      <w:tr>
        <w:trPr>
          <w:trHeight w:val="186"/>
        </w:trPr>
        <w:tc>
          <w:tcPr>
            <w:tcW w:w="400" w:type="dxa"/>
            <w:vAlign w:val="bottom"/>
            <w:shd w:val="clear" w:color="auto" w:fill="F2F7EB"/>
          </w:tcPr>
          <w:p>
            <w:pPr>
              <w:spacing w:after="0"/>
              <w:rPr>
                <w:sz w:val="16"/>
                <w:szCs w:val="16"/>
                <w:color w:val="auto"/>
              </w:rPr>
            </w:pPr>
          </w:p>
        </w:tc>
        <w:tc>
          <w:tcPr>
            <w:tcW w:w="1260" w:type="dxa"/>
            <w:vAlign w:val="bottom"/>
            <w:shd w:val="clear" w:color="auto" w:fill="F2F7EB"/>
          </w:tcPr>
          <w:p>
            <w:pPr>
              <w:spacing w:after="0"/>
              <w:rPr>
                <w:sz w:val="16"/>
                <w:szCs w:val="16"/>
                <w:color w:val="auto"/>
              </w:rPr>
            </w:pPr>
          </w:p>
        </w:tc>
        <w:tc>
          <w:tcPr>
            <w:tcW w:w="400" w:type="dxa"/>
            <w:vAlign w:val="bottom"/>
            <w:shd w:val="clear" w:color="auto" w:fill="F2F7EB"/>
          </w:tcPr>
          <w:p>
            <w:pPr>
              <w:spacing w:after="0"/>
              <w:rPr>
                <w:sz w:val="16"/>
                <w:szCs w:val="16"/>
                <w:color w:val="auto"/>
              </w:rPr>
            </w:pPr>
          </w:p>
        </w:tc>
        <w:tc>
          <w:tcPr>
            <w:tcW w:w="5700" w:type="dxa"/>
            <w:vAlign w:val="bottom"/>
            <w:gridSpan w:val="4"/>
            <w:vMerge w:val="restart"/>
            <w:shd w:val="clear" w:color="auto" w:fill="F2F7EB"/>
          </w:tcPr>
          <w:p>
            <w:pPr>
              <w:ind w:left="1620"/>
              <w:spacing w:after="0"/>
              <w:rPr>
                <w:sz w:val="20"/>
                <w:szCs w:val="20"/>
                <w:color w:val="auto"/>
              </w:rPr>
            </w:pPr>
            <w:r>
              <w:rPr>
                <w:rFonts w:ascii="Arial" w:cs="Arial" w:eastAsia="Arial" w:hAnsi="Arial"/>
                <w:sz w:val="18"/>
                <w:szCs w:val="18"/>
                <w:color w:val="auto"/>
              </w:rPr>
              <w:t>Chairman, President and CEO</w:t>
            </w:r>
          </w:p>
        </w:tc>
        <w:tc>
          <w:tcPr>
            <w:tcW w:w="220" w:type="dxa"/>
            <w:vAlign w:val="bottom"/>
          </w:tcPr>
          <w:p>
            <w:pPr>
              <w:spacing w:after="0"/>
              <w:rPr>
                <w:sz w:val="16"/>
                <w:szCs w:val="16"/>
                <w:color w:val="auto"/>
              </w:rPr>
            </w:pPr>
          </w:p>
        </w:tc>
        <w:tc>
          <w:tcPr>
            <w:tcW w:w="3240" w:type="dxa"/>
            <w:vAlign w:val="bottom"/>
            <w:shd w:val="clear" w:color="auto" w:fill="E7E7E8"/>
          </w:tcPr>
          <w:p>
            <w:pPr>
              <w:jc w:val="center"/>
              <w:spacing w:after="0"/>
              <w:rPr>
                <w:sz w:val="20"/>
                <w:szCs w:val="20"/>
                <w:color w:val="auto"/>
              </w:rPr>
            </w:pPr>
            <w:r>
              <w:rPr>
                <w:rFonts w:ascii="Arial" w:cs="Arial" w:eastAsia="Arial" w:hAnsi="Arial"/>
                <w:sz w:val="16"/>
                <w:szCs w:val="16"/>
                <w:color w:val="auto"/>
                <w:w w:val="99"/>
              </w:rPr>
              <w:t>cars and three times our</w:t>
            </w:r>
          </w:p>
        </w:tc>
        <w:tc>
          <w:tcPr>
            <w:tcW w:w="0" w:type="dxa"/>
            <w:vAlign w:val="bottom"/>
          </w:tcPr>
          <w:p>
            <w:pPr>
              <w:spacing w:after="0"/>
              <w:rPr>
                <w:sz w:val="1"/>
                <w:szCs w:val="1"/>
                <w:color w:val="auto"/>
              </w:rPr>
            </w:pPr>
          </w:p>
        </w:tc>
      </w:tr>
      <w:tr>
        <w:trPr>
          <w:trHeight w:val="65"/>
        </w:trPr>
        <w:tc>
          <w:tcPr>
            <w:tcW w:w="400" w:type="dxa"/>
            <w:vAlign w:val="bottom"/>
            <w:shd w:val="clear" w:color="auto" w:fill="F2F7EB"/>
          </w:tcPr>
          <w:p>
            <w:pPr>
              <w:spacing w:after="0"/>
              <w:rPr>
                <w:sz w:val="5"/>
                <w:szCs w:val="5"/>
                <w:color w:val="auto"/>
              </w:rPr>
            </w:pPr>
          </w:p>
        </w:tc>
        <w:tc>
          <w:tcPr>
            <w:tcW w:w="1260" w:type="dxa"/>
            <w:vAlign w:val="bottom"/>
            <w:shd w:val="clear" w:color="auto" w:fill="F2F7EB"/>
          </w:tcPr>
          <w:p>
            <w:pPr>
              <w:spacing w:after="0"/>
              <w:rPr>
                <w:sz w:val="5"/>
                <w:szCs w:val="5"/>
                <w:color w:val="auto"/>
              </w:rPr>
            </w:pPr>
          </w:p>
        </w:tc>
        <w:tc>
          <w:tcPr>
            <w:tcW w:w="400" w:type="dxa"/>
            <w:vAlign w:val="bottom"/>
            <w:shd w:val="clear" w:color="auto" w:fill="F2F7EB"/>
          </w:tcPr>
          <w:p>
            <w:pPr>
              <w:spacing w:after="0"/>
              <w:rPr>
                <w:sz w:val="5"/>
                <w:szCs w:val="5"/>
                <w:color w:val="auto"/>
              </w:rPr>
            </w:pPr>
          </w:p>
        </w:tc>
        <w:tc>
          <w:tcPr>
            <w:tcW w:w="5700" w:type="dxa"/>
            <w:vAlign w:val="bottom"/>
            <w:gridSpan w:val="4"/>
            <w:vMerge w:val="continue"/>
            <w:shd w:val="clear" w:color="auto" w:fill="F2F7EB"/>
          </w:tcPr>
          <w:p>
            <w:pPr>
              <w:spacing w:after="0"/>
              <w:rPr>
                <w:sz w:val="5"/>
                <w:szCs w:val="5"/>
                <w:color w:val="auto"/>
              </w:rPr>
            </w:pPr>
          </w:p>
        </w:tc>
        <w:tc>
          <w:tcPr>
            <w:tcW w:w="220" w:type="dxa"/>
            <w:vAlign w:val="bottom"/>
          </w:tcPr>
          <w:p>
            <w:pPr>
              <w:spacing w:after="0"/>
              <w:rPr>
                <w:sz w:val="5"/>
                <w:szCs w:val="5"/>
                <w:color w:val="auto"/>
              </w:rPr>
            </w:pPr>
          </w:p>
        </w:tc>
        <w:tc>
          <w:tcPr>
            <w:tcW w:w="3240" w:type="dxa"/>
            <w:vAlign w:val="bottom"/>
            <w:vMerge w:val="restart"/>
            <w:shd w:val="clear" w:color="auto" w:fill="E7E7E8"/>
          </w:tcPr>
          <w:p>
            <w:pPr>
              <w:jc w:val="center"/>
              <w:spacing w:after="0"/>
              <w:rPr>
                <w:sz w:val="20"/>
                <w:szCs w:val="20"/>
                <w:color w:val="auto"/>
              </w:rPr>
            </w:pPr>
            <w:r>
              <w:rPr>
                <w:rFonts w:ascii="Arial" w:cs="Arial" w:eastAsia="Arial" w:hAnsi="Arial"/>
                <w:sz w:val="16"/>
                <w:szCs w:val="16"/>
                <w:color w:val="auto"/>
                <w:w w:val="99"/>
              </w:rPr>
              <w:t>own direct and indirect</w:t>
            </w:r>
          </w:p>
        </w:tc>
        <w:tc>
          <w:tcPr>
            <w:tcW w:w="0" w:type="dxa"/>
            <w:vAlign w:val="bottom"/>
          </w:tcPr>
          <w:p>
            <w:pPr>
              <w:spacing w:after="0"/>
              <w:rPr>
                <w:sz w:val="1"/>
                <w:szCs w:val="1"/>
                <w:color w:val="auto"/>
              </w:rPr>
            </w:pPr>
          </w:p>
        </w:tc>
      </w:tr>
      <w:tr>
        <w:trPr>
          <w:trHeight w:val="122"/>
        </w:trPr>
        <w:tc>
          <w:tcPr>
            <w:tcW w:w="400" w:type="dxa"/>
            <w:vAlign w:val="bottom"/>
            <w:shd w:val="clear" w:color="auto" w:fill="F2F7EB"/>
          </w:tcPr>
          <w:p>
            <w:pPr>
              <w:spacing w:after="0"/>
              <w:rPr>
                <w:sz w:val="10"/>
                <w:szCs w:val="10"/>
                <w:color w:val="auto"/>
              </w:rPr>
            </w:pPr>
          </w:p>
        </w:tc>
        <w:tc>
          <w:tcPr>
            <w:tcW w:w="1260" w:type="dxa"/>
            <w:vAlign w:val="bottom"/>
            <w:shd w:val="clear" w:color="auto" w:fill="F2F7EB"/>
          </w:tcPr>
          <w:p>
            <w:pPr>
              <w:spacing w:after="0"/>
              <w:rPr>
                <w:sz w:val="10"/>
                <w:szCs w:val="10"/>
                <w:color w:val="auto"/>
              </w:rPr>
            </w:pPr>
          </w:p>
        </w:tc>
        <w:tc>
          <w:tcPr>
            <w:tcW w:w="400" w:type="dxa"/>
            <w:vAlign w:val="bottom"/>
            <w:shd w:val="clear" w:color="auto" w:fill="F2F7EB"/>
          </w:tcPr>
          <w:p>
            <w:pPr>
              <w:spacing w:after="0"/>
              <w:rPr>
                <w:sz w:val="10"/>
                <w:szCs w:val="10"/>
                <w:color w:val="auto"/>
              </w:rPr>
            </w:pPr>
          </w:p>
        </w:tc>
        <w:tc>
          <w:tcPr>
            <w:tcW w:w="3680" w:type="dxa"/>
            <w:vAlign w:val="bottom"/>
            <w:shd w:val="clear" w:color="auto" w:fill="F2F7EB"/>
          </w:tcPr>
          <w:p>
            <w:pPr>
              <w:spacing w:after="0"/>
              <w:rPr>
                <w:sz w:val="10"/>
                <w:szCs w:val="10"/>
                <w:color w:val="auto"/>
              </w:rPr>
            </w:pPr>
          </w:p>
        </w:tc>
        <w:tc>
          <w:tcPr>
            <w:tcW w:w="340" w:type="dxa"/>
            <w:vAlign w:val="bottom"/>
            <w:shd w:val="clear" w:color="auto" w:fill="F2F7EB"/>
          </w:tcPr>
          <w:p>
            <w:pPr>
              <w:spacing w:after="0"/>
              <w:rPr>
                <w:sz w:val="10"/>
                <w:szCs w:val="10"/>
                <w:color w:val="auto"/>
              </w:rPr>
            </w:pPr>
          </w:p>
        </w:tc>
        <w:tc>
          <w:tcPr>
            <w:tcW w:w="1280" w:type="dxa"/>
            <w:vAlign w:val="bottom"/>
            <w:shd w:val="clear" w:color="auto" w:fill="F2F7EB"/>
          </w:tcPr>
          <w:p>
            <w:pPr>
              <w:spacing w:after="0"/>
              <w:rPr>
                <w:sz w:val="10"/>
                <w:szCs w:val="10"/>
                <w:color w:val="auto"/>
              </w:rPr>
            </w:pPr>
          </w:p>
        </w:tc>
        <w:tc>
          <w:tcPr>
            <w:tcW w:w="400" w:type="dxa"/>
            <w:vAlign w:val="bottom"/>
            <w:shd w:val="clear" w:color="auto" w:fill="F2F7EB"/>
          </w:tcPr>
          <w:p>
            <w:pPr>
              <w:spacing w:after="0"/>
              <w:rPr>
                <w:sz w:val="10"/>
                <w:szCs w:val="10"/>
                <w:color w:val="auto"/>
              </w:rPr>
            </w:pPr>
          </w:p>
        </w:tc>
        <w:tc>
          <w:tcPr>
            <w:tcW w:w="220" w:type="dxa"/>
            <w:vAlign w:val="bottom"/>
          </w:tcPr>
          <w:p>
            <w:pPr>
              <w:spacing w:after="0"/>
              <w:rPr>
                <w:sz w:val="10"/>
                <w:szCs w:val="10"/>
                <w:color w:val="auto"/>
              </w:rPr>
            </w:pPr>
          </w:p>
        </w:tc>
        <w:tc>
          <w:tcPr>
            <w:tcW w:w="3240" w:type="dxa"/>
            <w:vAlign w:val="bottom"/>
            <w:vMerge w:val="continue"/>
            <w:shd w:val="clear" w:color="auto" w:fill="E7E7E8"/>
          </w:tcPr>
          <w:p>
            <w:pPr>
              <w:spacing w:after="0"/>
              <w:rPr>
                <w:sz w:val="10"/>
                <w:szCs w:val="10"/>
                <w:color w:val="auto"/>
              </w:rPr>
            </w:pPr>
          </w:p>
        </w:tc>
        <w:tc>
          <w:tcPr>
            <w:tcW w:w="0" w:type="dxa"/>
            <w:vAlign w:val="bottom"/>
          </w:tcPr>
          <w:p>
            <w:pPr>
              <w:spacing w:after="0"/>
              <w:rPr>
                <w:sz w:val="1"/>
                <w:szCs w:val="1"/>
                <w:color w:val="auto"/>
              </w:rPr>
            </w:pPr>
          </w:p>
        </w:tc>
      </w:tr>
      <w:tr>
        <w:trPr>
          <w:trHeight w:val="298"/>
        </w:trPr>
        <w:tc>
          <w:tcPr>
            <w:tcW w:w="400" w:type="dxa"/>
            <w:vAlign w:val="bottom"/>
            <w:tcBorders>
              <w:bottom w:val="single" w:sz="8" w:color="F2F7EB"/>
            </w:tcBorders>
            <w:shd w:val="clear" w:color="auto" w:fill="F2F7EB"/>
          </w:tcPr>
          <w:p>
            <w:pPr>
              <w:spacing w:after="0"/>
              <w:rPr>
                <w:sz w:val="24"/>
                <w:szCs w:val="24"/>
                <w:color w:val="auto"/>
              </w:rPr>
            </w:pPr>
          </w:p>
        </w:tc>
        <w:tc>
          <w:tcPr>
            <w:tcW w:w="1260" w:type="dxa"/>
            <w:vAlign w:val="bottom"/>
            <w:tcBorders>
              <w:bottom w:val="single" w:sz="8" w:color="91BC5E"/>
            </w:tcBorders>
            <w:shd w:val="clear" w:color="auto" w:fill="F2F7EB"/>
          </w:tcPr>
          <w:p>
            <w:pPr>
              <w:spacing w:after="0"/>
              <w:rPr>
                <w:sz w:val="24"/>
                <w:szCs w:val="24"/>
                <w:color w:val="auto"/>
              </w:rPr>
            </w:pPr>
          </w:p>
        </w:tc>
        <w:tc>
          <w:tcPr>
            <w:tcW w:w="400" w:type="dxa"/>
            <w:vAlign w:val="bottom"/>
            <w:tcBorders>
              <w:bottom w:val="single" w:sz="8" w:color="91BC5E"/>
            </w:tcBorders>
            <w:shd w:val="clear" w:color="auto" w:fill="F2F7EB"/>
          </w:tcPr>
          <w:p>
            <w:pPr>
              <w:spacing w:after="0"/>
              <w:rPr>
                <w:sz w:val="24"/>
                <w:szCs w:val="24"/>
                <w:color w:val="auto"/>
              </w:rPr>
            </w:pPr>
          </w:p>
        </w:tc>
        <w:tc>
          <w:tcPr>
            <w:tcW w:w="3680" w:type="dxa"/>
            <w:vAlign w:val="bottom"/>
            <w:tcBorders>
              <w:bottom w:val="single" w:sz="8" w:color="91BC5E"/>
            </w:tcBorders>
            <w:shd w:val="clear" w:color="auto" w:fill="F2F7EB"/>
          </w:tcPr>
          <w:p>
            <w:pPr>
              <w:spacing w:after="0"/>
              <w:rPr>
                <w:sz w:val="24"/>
                <w:szCs w:val="24"/>
                <w:color w:val="auto"/>
              </w:rPr>
            </w:pPr>
          </w:p>
        </w:tc>
        <w:tc>
          <w:tcPr>
            <w:tcW w:w="340" w:type="dxa"/>
            <w:vAlign w:val="bottom"/>
            <w:tcBorders>
              <w:bottom w:val="single" w:sz="8" w:color="F2F7EB"/>
            </w:tcBorders>
            <w:shd w:val="clear" w:color="auto" w:fill="F2F7EB"/>
          </w:tcPr>
          <w:p>
            <w:pPr>
              <w:spacing w:after="0"/>
              <w:rPr>
                <w:sz w:val="24"/>
                <w:szCs w:val="24"/>
                <w:color w:val="auto"/>
              </w:rPr>
            </w:pPr>
          </w:p>
        </w:tc>
        <w:tc>
          <w:tcPr>
            <w:tcW w:w="1280" w:type="dxa"/>
            <w:vAlign w:val="bottom"/>
            <w:tcBorders>
              <w:bottom w:val="single" w:sz="8" w:color="91BC5E"/>
            </w:tcBorders>
            <w:shd w:val="clear" w:color="auto" w:fill="F2F7EB"/>
          </w:tcPr>
          <w:p>
            <w:pPr>
              <w:spacing w:after="0"/>
              <w:rPr>
                <w:sz w:val="24"/>
                <w:szCs w:val="24"/>
                <w:color w:val="auto"/>
              </w:rPr>
            </w:pPr>
          </w:p>
        </w:tc>
        <w:tc>
          <w:tcPr>
            <w:tcW w:w="400" w:type="dxa"/>
            <w:vAlign w:val="bottom"/>
            <w:tcBorders>
              <w:bottom w:val="single" w:sz="8" w:color="F2F7EB"/>
            </w:tcBorders>
            <w:shd w:val="clear" w:color="auto" w:fill="F2F7EB"/>
          </w:tcPr>
          <w:p>
            <w:pPr>
              <w:spacing w:after="0"/>
              <w:rPr>
                <w:sz w:val="24"/>
                <w:szCs w:val="24"/>
                <w:color w:val="auto"/>
              </w:rPr>
            </w:pPr>
          </w:p>
        </w:tc>
        <w:tc>
          <w:tcPr>
            <w:tcW w:w="220" w:type="dxa"/>
            <w:vAlign w:val="bottom"/>
          </w:tcPr>
          <w:p>
            <w:pPr>
              <w:spacing w:after="0"/>
              <w:rPr>
                <w:sz w:val="24"/>
                <w:szCs w:val="24"/>
                <w:color w:val="auto"/>
              </w:rPr>
            </w:pPr>
          </w:p>
        </w:tc>
        <w:tc>
          <w:tcPr>
            <w:tcW w:w="3240" w:type="dxa"/>
            <w:vAlign w:val="bottom"/>
            <w:tcBorders>
              <w:bottom w:val="single" w:sz="8" w:color="E7E7E8"/>
            </w:tcBorders>
            <w:shd w:val="clear" w:color="auto" w:fill="E7E7E8"/>
          </w:tcPr>
          <w:p>
            <w:pPr>
              <w:jc w:val="center"/>
              <w:spacing w:after="0" w:line="265" w:lineRule="exact"/>
              <w:rPr>
                <w:sz w:val="20"/>
                <w:szCs w:val="20"/>
                <w:color w:val="auto"/>
              </w:rPr>
            </w:pPr>
            <w:r>
              <w:rPr>
                <w:rFonts w:ascii="Arial" w:cs="Arial" w:eastAsia="Arial" w:hAnsi="Arial"/>
                <w:sz w:val="16"/>
                <w:szCs w:val="16"/>
                <w:color w:val="auto"/>
                <w:w w:val="96"/>
              </w:rPr>
              <w:t>CO</w:t>
            </w:r>
            <w:r>
              <w:rPr>
                <w:rFonts w:ascii="Arial" w:cs="Arial" w:eastAsia="Arial" w:hAnsi="Arial"/>
                <w:sz w:val="26"/>
                <w:szCs w:val="26"/>
                <w:color w:val="auto"/>
                <w:w w:val="96"/>
                <w:vertAlign w:val="subscript"/>
              </w:rPr>
              <w:t>2</w:t>
            </w:r>
            <w:r>
              <w:rPr>
                <w:rFonts w:ascii="Arial" w:cs="Arial" w:eastAsia="Arial" w:hAnsi="Arial"/>
                <w:sz w:val="16"/>
                <w:szCs w:val="16"/>
                <w:color w:val="auto"/>
                <w:w w:val="96"/>
              </w:rPr>
              <w:t xml:space="preserve"> emissions.</w:t>
            </w:r>
          </w:p>
        </w:tc>
        <w:tc>
          <w:tcPr>
            <w:tcW w:w="0" w:type="dxa"/>
            <w:vAlign w:val="bottom"/>
          </w:tcPr>
          <w:p>
            <w:pPr>
              <w:spacing w:after="0"/>
              <w:rPr>
                <w:sz w:val="1"/>
                <w:szCs w:val="1"/>
                <w:color w:val="auto"/>
              </w:rPr>
            </w:pPr>
          </w:p>
        </w:tc>
      </w:tr>
      <w:tr>
        <w:trPr>
          <w:trHeight w:val="186"/>
        </w:trPr>
        <w:tc>
          <w:tcPr>
            <w:tcW w:w="400" w:type="dxa"/>
            <w:vAlign w:val="bottom"/>
            <w:shd w:val="clear" w:color="auto" w:fill="F2F7EB"/>
          </w:tcPr>
          <w:p>
            <w:pPr>
              <w:spacing w:after="0"/>
              <w:rPr>
                <w:sz w:val="16"/>
                <w:szCs w:val="16"/>
                <w:color w:val="auto"/>
              </w:rPr>
            </w:pPr>
          </w:p>
        </w:tc>
        <w:tc>
          <w:tcPr>
            <w:tcW w:w="1260" w:type="dxa"/>
            <w:vAlign w:val="bottom"/>
            <w:shd w:val="clear" w:color="auto" w:fill="F2F7EB"/>
          </w:tcPr>
          <w:p>
            <w:pPr>
              <w:spacing w:after="0"/>
              <w:rPr>
                <w:sz w:val="16"/>
                <w:szCs w:val="16"/>
                <w:color w:val="auto"/>
              </w:rPr>
            </w:pPr>
          </w:p>
        </w:tc>
        <w:tc>
          <w:tcPr>
            <w:tcW w:w="400" w:type="dxa"/>
            <w:vAlign w:val="bottom"/>
            <w:shd w:val="clear" w:color="auto" w:fill="F2F7EB"/>
          </w:tcPr>
          <w:p>
            <w:pPr>
              <w:spacing w:after="0"/>
              <w:rPr>
                <w:sz w:val="16"/>
                <w:szCs w:val="16"/>
                <w:color w:val="auto"/>
              </w:rPr>
            </w:pPr>
          </w:p>
        </w:tc>
        <w:tc>
          <w:tcPr>
            <w:tcW w:w="3680" w:type="dxa"/>
            <w:vAlign w:val="bottom"/>
            <w:shd w:val="clear" w:color="auto" w:fill="F2F7EB"/>
          </w:tcPr>
          <w:p>
            <w:pPr>
              <w:spacing w:after="0"/>
              <w:rPr>
                <w:sz w:val="16"/>
                <w:szCs w:val="16"/>
                <w:color w:val="auto"/>
              </w:rPr>
            </w:pPr>
          </w:p>
        </w:tc>
        <w:tc>
          <w:tcPr>
            <w:tcW w:w="340" w:type="dxa"/>
            <w:vAlign w:val="bottom"/>
            <w:shd w:val="clear" w:color="auto" w:fill="F2F7EB"/>
          </w:tcPr>
          <w:p>
            <w:pPr>
              <w:spacing w:after="0"/>
              <w:rPr>
                <w:sz w:val="16"/>
                <w:szCs w:val="16"/>
                <w:color w:val="auto"/>
              </w:rPr>
            </w:pPr>
          </w:p>
        </w:tc>
        <w:tc>
          <w:tcPr>
            <w:tcW w:w="1280" w:type="dxa"/>
            <w:vAlign w:val="bottom"/>
            <w:shd w:val="clear" w:color="auto" w:fill="F2F7EB"/>
          </w:tcPr>
          <w:p>
            <w:pPr>
              <w:spacing w:after="0"/>
              <w:rPr>
                <w:sz w:val="16"/>
                <w:szCs w:val="16"/>
                <w:color w:val="auto"/>
              </w:rPr>
            </w:pPr>
          </w:p>
        </w:tc>
        <w:tc>
          <w:tcPr>
            <w:tcW w:w="400" w:type="dxa"/>
            <w:vAlign w:val="bottom"/>
            <w:shd w:val="clear" w:color="auto" w:fill="F2F7EB"/>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00" w:type="dxa"/>
            <w:vAlign w:val="bottom"/>
            <w:shd w:val="clear" w:color="auto" w:fill="F2F7EB"/>
          </w:tcPr>
          <w:p>
            <w:pPr>
              <w:spacing w:after="0"/>
              <w:rPr>
                <w:sz w:val="2"/>
                <w:szCs w:val="2"/>
                <w:color w:val="auto"/>
              </w:rPr>
            </w:pPr>
          </w:p>
        </w:tc>
        <w:tc>
          <w:tcPr>
            <w:tcW w:w="1260" w:type="dxa"/>
            <w:vAlign w:val="bottom"/>
            <w:shd w:val="clear" w:color="auto" w:fill="F2F7EB"/>
          </w:tcPr>
          <w:p>
            <w:pPr>
              <w:spacing w:after="0"/>
              <w:rPr>
                <w:sz w:val="2"/>
                <w:szCs w:val="2"/>
                <w:color w:val="auto"/>
              </w:rPr>
            </w:pPr>
          </w:p>
        </w:tc>
        <w:tc>
          <w:tcPr>
            <w:tcW w:w="400" w:type="dxa"/>
            <w:vAlign w:val="bottom"/>
            <w:shd w:val="clear" w:color="auto" w:fill="F2F7EB"/>
          </w:tcPr>
          <w:p>
            <w:pPr>
              <w:spacing w:after="0"/>
              <w:rPr>
                <w:sz w:val="2"/>
                <w:szCs w:val="2"/>
                <w:color w:val="auto"/>
              </w:rPr>
            </w:pPr>
          </w:p>
        </w:tc>
        <w:tc>
          <w:tcPr>
            <w:tcW w:w="3680" w:type="dxa"/>
            <w:vAlign w:val="bottom"/>
            <w:shd w:val="clear" w:color="auto" w:fill="F2F7EB"/>
          </w:tcPr>
          <w:p>
            <w:pPr>
              <w:spacing w:after="0"/>
              <w:rPr>
                <w:sz w:val="2"/>
                <w:szCs w:val="2"/>
                <w:color w:val="auto"/>
              </w:rPr>
            </w:pPr>
          </w:p>
        </w:tc>
        <w:tc>
          <w:tcPr>
            <w:tcW w:w="340" w:type="dxa"/>
            <w:vAlign w:val="bottom"/>
            <w:shd w:val="clear" w:color="auto" w:fill="F2F7EB"/>
          </w:tcPr>
          <w:p>
            <w:pPr>
              <w:spacing w:after="0"/>
              <w:rPr>
                <w:sz w:val="2"/>
                <w:szCs w:val="2"/>
                <w:color w:val="auto"/>
              </w:rPr>
            </w:pPr>
          </w:p>
        </w:tc>
        <w:tc>
          <w:tcPr>
            <w:tcW w:w="1280" w:type="dxa"/>
            <w:vAlign w:val="bottom"/>
            <w:shd w:val="clear" w:color="auto" w:fill="F2F7EB"/>
          </w:tcPr>
          <w:p>
            <w:pPr>
              <w:spacing w:after="0"/>
              <w:rPr>
                <w:sz w:val="2"/>
                <w:szCs w:val="2"/>
                <w:color w:val="auto"/>
              </w:rPr>
            </w:pPr>
          </w:p>
        </w:tc>
        <w:tc>
          <w:tcPr>
            <w:tcW w:w="400" w:type="dxa"/>
            <w:vAlign w:val="bottom"/>
            <w:shd w:val="clear" w:color="auto" w:fill="F2F7EB"/>
          </w:tcPr>
          <w:p>
            <w:pPr>
              <w:spacing w:after="0"/>
              <w:rPr>
                <w:sz w:val="2"/>
                <w:szCs w:val="2"/>
                <w:color w:val="auto"/>
              </w:rPr>
            </w:pPr>
          </w:p>
        </w:tc>
        <w:tc>
          <w:tcPr>
            <w:tcW w:w="2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-1512570</wp:posOffset>
            </wp:positionV>
            <wp:extent cx="219710" cy="1778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19710" cy="1778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-177165</wp:posOffset>
            </wp:positionV>
            <wp:extent cx="7134225" cy="36347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4225" cy="363474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318" w:lineRule="exact"/>
        <w:rPr>
          <w:sz w:val="20"/>
          <w:szCs w:val="20"/>
          <w:color w:val="auto"/>
        </w:rPr>
      </w:pPr>
    </w:p>
    <w:p>
      <w:pPr>
        <w:ind w:left="140"/>
        <w:spacing w:after="0"/>
        <w:rPr>
          <w:sz w:val="20"/>
          <w:szCs w:val="20"/>
          <w:color w:val="auto"/>
        </w:rPr>
      </w:pPr>
      <w:r>
        <w:rPr>
          <w:rFonts w:ascii="Arial" w:cs="Arial" w:eastAsia="Arial" w:hAnsi="Arial"/>
          <w:sz w:val="35"/>
          <w:szCs w:val="35"/>
          <w:color w:val="F58028"/>
        </w:rPr>
        <w:t>Our People</w:t>
      </w:r>
    </w:p>
    <w:p>
      <w:pPr>
        <w:spacing w:after="0" w:line="173" w:lineRule="exact"/>
        <w:rPr>
          <w:sz w:val="20"/>
          <w:szCs w:val="20"/>
          <w:color w:val="auto"/>
        </w:rPr>
      </w:pPr>
    </w:p>
    <w:p>
      <w:pPr>
        <w:ind w:left="140" w:right="131"/>
        <w:spacing w:after="0" w:line="244" w:lineRule="auto"/>
        <w:rPr>
          <w:sz w:val="20"/>
          <w:szCs w:val="20"/>
          <w:color w:val="auto"/>
        </w:rPr>
      </w:pPr>
      <w:r>
        <w:rPr>
          <w:rFonts w:ascii="Arial" w:cs="Arial" w:eastAsia="Arial" w:hAnsi="Arial"/>
          <w:sz w:val="16"/>
          <w:szCs w:val="16"/>
          <w:color w:val="auto"/>
        </w:rPr>
        <w:t>We believe our employees are our most valuable asset and are critical to our success as an organization. Our goal is to be the safest, most diverse and most profitable industrial gas company in the world, providing excellent service to our customers. Integral to our success is the continued development of our 4S culture (Safety, Speed, Simplicity and Self-Confidence) and creating a work environment where all employees feel that they belong and matter. Our talent related initiatives, including employee recruitment and development, diversity and inclusion and compensation and benefit programs, are focused on building and retaining the world-class and talented staff that is needed to meet our goals.</w:t>
      </w:r>
    </w:p>
    <w:p>
      <w:pPr>
        <w:spacing w:after="0" w:line="127" w:lineRule="exact"/>
        <w:rPr>
          <w:sz w:val="20"/>
          <w:szCs w:val="20"/>
          <w:color w:val="auto"/>
        </w:rPr>
      </w:pPr>
    </w:p>
    <w:p>
      <w:pPr>
        <w:ind w:left="140" w:right="2071"/>
        <w:spacing w:after="0" w:line="263" w:lineRule="auto"/>
        <w:rPr>
          <w:sz w:val="20"/>
          <w:szCs w:val="20"/>
          <w:color w:val="auto"/>
        </w:rPr>
      </w:pPr>
      <w:r>
        <w:rPr>
          <w:rFonts w:ascii="Arial" w:cs="Arial" w:eastAsia="Arial" w:hAnsi="Arial"/>
          <w:sz w:val="18"/>
          <w:szCs w:val="18"/>
          <w:b w:val="1"/>
          <w:bCs w:val="1"/>
          <w:color w:val="00A4E4"/>
        </w:rPr>
        <w:t>DIVERSITY IN PROFESSIONAL AND MANAGERIAL ROLES</w:t>
      </w:r>
    </w:p>
    <w:p>
      <w:pPr>
        <w:spacing w:after="0" w:line="66" w:lineRule="exact"/>
        <w:rPr>
          <w:sz w:val="20"/>
          <w:szCs w:val="20"/>
          <w:color w:val="auto"/>
        </w:rPr>
      </w:pPr>
    </w:p>
    <w:p>
      <w:pPr>
        <w:ind w:left="2760" w:right="51" w:hanging="176"/>
        <w:spacing w:after="0"/>
        <w:tabs>
          <w:tab w:leader="none" w:pos="2748" w:val="left"/>
        </w:tabs>
        <w:numPr>
          <w:ilvl w:val="0"/>
          <w:numId w:val="9"/>
        </w:numPr>
        <w:rPr>
          <w:rFonts w:ascii="Arial" w:cs="Arial" w:eastAsia="Arial" w:hAnsi="Arial"/>
          <w:sz w:val="14"/>
          <w:szCs w:val="14"/>
          <w:color w:val="auto"/>
        </w:rPr>
      </w:pPr>
      <w:r>
        <w:rPr>
          <w:rFonts w:ascii="Arial" w:cs="Arial" w:eastAsia="Arial" w:hAnsi="Arial"/>
          <w:sz w:val="14"/>
          <w:szCs w:val="14"/>
          <w:color w:val="auto"/>
        </w:rPr>
        <w:t>Air Products achieved its initial 20% goal set in October 2020 for minority representation in U.S. professional and managerial roles and in November 2021 set a new goal of 30% representation in those roles by 2025.</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left="9"/>
        <w:spacing w:after="0"/>
        <w:rPr>
          <w:sz w:val="20"/>
          <w:szCs w:val="20"/>
          <w:color w:val="auto"/>
        </w:rPr>
      </w:pPr>
      <w:r>
        <w:rPr>
          <w:rFonts w:ascii="Arial" w:cs="Arial" w:eastAsia="Arial" w:hAnsi="Arial"/>
          <w:sz w:val="35"/>
          <w:szCs w:val="35"/>
          <w:color w:val="009844"/>
        </w:rPr>
        <w:t>More Information</w:t>
      </w:r>
    </w:p>
    <w:p>
      <w:pPr>
        <w:spacing w:after="0" w:line="173" w:lineRule="exact"/>
        <w:rPr>
          <w:sz w:val="20"/>
          <w:szCs w:val="20"/>
          <w:color w:val="auto"/>
        </w:rPr>
      </w:pPr>
    </w:p>
    <w:p>
      <w:pPr>
        <w:ind w:left="9" w:right="240"/>
        <w:spacing w:after="0" w:line="287" w:lineRule="auto"/>
        <w:rPr>
          <w:sz w:val="20"/>
          <w:szCs w:val="20"/>
          <w:color w:val="auto"/>
        </w:rPr>
      </w:pPr>
      <w:r>
        <w:rPr>
          <w:rFonts w:ascii="Arial" w:cs="Arial" w:eastAsia="Arial" w:hAnsi="Arial"/>
          <w:sz w:val="15"/>
          <w:szCs w:val="15"/>
          <w:color w:val="auto"/>
        </w:rPr>
        <w:t>Air Products has reported annually on its sustainability performance for 18 years, building on a decade of safety and environmental reporting.</w:t>
      </w:r>
    </w:p>
    <w:p>
      <w:pPr>
        <w:spacing w:after="0" w:line="120" w:lineRule="exact"/>
        <w:rPr>
          <w:sz w:val="20"/>
          <w:szCs w:val="20"/>
          <w:color w:val="auto"/>
        </w:rPr>
      </w:pPr>
    </w:p>
    <w:p>
      <w:pPr>
        <w:ind w:left="9" w:right="200"/>
        <w:spacing w:after="0" w:line="245" w:lineRule="auto"/>
        <w:rPr>
          <w:sz w:val="20"/>
          <w:szCs w:val="20"/>
          <w:color w:val="auto"/>
        </w:rPr>
      </w:pPr>
      <w:r>
        <w:rPr>
          <w:rFonts w:ascii="Arial" w:cs="Arial" w:eastAsia="Arial" w:hAnsi="Arial"/>
          <w:sz w:val="16"/>
          <w:szCs w:val="16"/>
          <w:color w:val="auto"/>
        </w:rPr>
        <w:t>Our 2021 Sustainability Report, prepared in accordance with GRI, is available on the sustainability page of our website and includes details on our plans to reach our goals. We also provide summaries of how our sustainability efforts are aligned with the reporting recommendations of SASB and TCFD.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 w:right="2680"/>
        <w:spacing w:after="0" w:line="225" w:lineRule="auto"/>
        <w:rPr>
          <w:sz w:val="20"/>
          <w:szCs w:val="20"/>
          <w:color w:val="auto"/>
        </w:rPr>
      </w:pPr>
      <w:r>
        <w:rPr>
          <w:rFonts w:ascii="Arial" w:cs="Arial" w:eastAsia="Arial" w:hAnsi="Arial"/>
          <w:sz w:val="20"/>
          <w:szCs w:val="20"/>
          <w:color w:val="009844"/>
        </w:rPr>
        <w:t>2021 Corporate Sustainability Report</w:t>
      </w:r>
      <w:r>
        <w:rPr>
          <w:rFonts w:ascii="Arial" w:cs="Arial" w:eastAsia="Arial" w:hAnsi="Arial"/>
          <w:sz w:val="20"/>
          <w:szCs w:val="20"/>
          <w:color w:val="000000"/>
        </w:rPr>
        <w:t>*</w:t>
      </w:r>
    </w:p>
    <w:p>
      <w:pPr>
        <w:ind w:left="9" w:right="3280"/>
        <w:spacing w:after="0" w:line="287" w:lineRule="auto"/>
        <w:rPr>
          <w:sz w:val="20"/>
          <w:szCs w:val="20"/>
          <w:color w:val="auto"/>
        </w:rPr>
      </w:pPr>
      <w:r>
        <w:rPr>
          <w:rFonts w:ascii="Arial" w:cs="Arial" w:eastAsia="Arial" w:hAnsi="Arial"/>
          <w:sz w:val="15"/>
          <w:szCs w:val="15"/>
          <w:i w:val="1"/>
          <w:iCs w:val="1"/>
          <w:color w:val="009844"/>
        </w:rPr>
        <w:t>www.airproducts.com/ company/sustainability.aspx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69" w:right="360" w:hanging="169"/>
        <w:spacing w:after="0" w:line="249" w:lineRule="auto"/>
        <w:tabs>
          <w:tab w:leader="none" w:pos="141"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information on our sustainability website is not incorporated by reference into, and does not form part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-3799205</wp:posOffset>
            </wp:positionH>
            <wp:positionV relativeFrom="paragraph">
              <wp:posOffset>100965</wp:posOffset>
            </wp:positionV>
            <wp:extent cx="7134225"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71" w:space="720"/>
            <w:col w:w="5249"/>
          </w:cols>
          <w:pgMar w:left="320" w:top="140" w:right="33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Arial" w:cs="Arial" w:eastAsia="Arial" w:hAnsi="Arial"/>
          <w:sz w:val="32"/>
          <w:szCs w:val="32"/>
          <w:color w:val="009844"/>
        </w:rPr>
        <w:t>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6255385" cy="7435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255385" cy="74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60"/>
        <w:spacing w:after="0" w:line="227" w:lineRule="auto"/>
        <w:rPr>
          <w:sz w:val="20"/>
          <w:szCs w:val="20"/>
          <w:color w:val="auto"/>
        </w:rPr>
      </w:pPr>
      <w:r>
        <w:rPr>
          <w:rFonts w:ascii="Arial" w:cs="Arial" w:eastAsia="Arial" w:hAnsi="Arial"/>
          <w:sz w:val="16"/>
          <w:szCs w:val="16"/>
          <w:color w:val="auto"/>
        </w:rPr>
        <w:t>The Company was ranked as the top climate aligned company in Barron’s 2021 Ranking of the Most Sustainable Companies in America and 13</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on Barron’s List of the 100 Most Sustainable Companies. In 2021 Air Products was named to the Dow Jones Sustainability Index (North America), ISS oekom Prime, FTSE4Good Index, Ethibel Sustainability Index (Excellence Global) and Corporate Responsibility Magazine’s 100 Best Corporate Citizens and received a gold rating from EcoVadis. The Company was selected as a Corporate Equality Index Best Place to Work for LGBT Equality in 2020 and 2021 for its diversity and inclusion initiatives and was named by Forbes in 2021 as a Best Employer for Diversity and also as a Best Employer for Women.</w:t>
      </w:r>
    </w:p>
    <w:p>
      <w:pPr>
        <w:spacing w:after="0" w:line="140"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55180" cy="209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7" w:lineRule="exact"/>
        <w:rPr>
          <w:sz w:val="20"/>
          <w:szCs w:val="20"/>
          <w:color w:val="auto"/>
        </w:rPr>
      </w:pPr>
    </w:p>
    <w:p>
      <w:pPr>
        <w:spacing w:after="0"/>
        <w:rPr>
          <w:sz w:val="20"/>
          <w:szCs w:val="20"/>
          <w:color w:val="auto"/>
        </w:rPr>
      </w:pPr>
      <w:r>
        <w:rPr>
          <w:rFonts w:ascii="Arial" w:cs="Arial" w:eastAsia="Arial" w:hAnsi="Arial"/>
          <w:sz w:val="44"/>
          <w:szCs w:val="44"/>
          <w:b w:val="1"/>
          <w:bCs w:val="1"/>
          <w:color w:val="009844"/>
        </w:rPr>
        <w:t>Voting Roadmap</w:t>
      </w:r>
    </w:p>
    <w:p>
      <w:pPr>
        <w:spacing w:after="0" w:line="273"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This section summarizes information contained elsewhere in this proxy statement. These highlights do not contain all the information that you should consider before voting or provide a complete description of the topics covered. Please read this entire proxy statement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89535</wp:posOffset>
            </wp:positionV>
            <wp:extent cx="7134225" cy="25190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4225" cy="251904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p>
      <w:pPr>
        <w:spacing w:after="0" w:line="308"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FFFFFF"/>
        </w:rPr>
        <w:t>PROPOSAL</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64"/>
          <w:szCs w:val="64"/>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2038350</wp:posOffset>
            </wp:positionV>
            <wp:extent cx="684530" cy="3710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4530" cy="37109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ind w:right="40"/>
        <w:spacing w:after="0" w:line="252" w:lineRule="auto"/>
        <w:rPr>
          <w:sz w:val="20"/>
          <w:szCs w:val="20"/>
          <w:color w:val="auto"/>
        </w:rPr>
      </w:pPr>
      <w:r>
        <w:rPr>
          <w:rFonts w:ascii="Arial" w:cs="Arial" w:eastAsia="Arial" w:hAnsi="Arial"/>
          <w:sz w:val="20"/>
          <w:szCs w:val="20"/>
          <w:b w:val="1"/>
          <w:bCs w:val="1"/>
          <w:color w:val="auto"/>
        </w:rPr>
        <w:t>Elect the seven nominees proposed by the Board of Directors as directors for a one-year term ending in 2023.</w:t>
      </w:r>
    </w:p>
    <w:p>
      <w:pPr>
        <w:spacing w:after="0" w:line="112" w:lineRule="exact"/>
        <w:rPr>
          <w:sz w:val="20"/>
          <w:szCs w:val="20"/>
          <w:color w:val="auto"/>
        </w:rPr>
      </w:pPr>
    </w:p>
    <w:p>
      <w:pPr>
        <w:spacing w:after="0" w:line="255" w:lineRule="auto"/>
        <w:rPr>
          <w:sz w:val="20"/>
          <w:szCs w:val="20"/>
          <w:color w:val="auto"/>
        </w:rPr>
      </w:pPr>
      <w:r>
        <w:rPr>
          <w:rFonts w:ascii="Arial" w:cs="Arial" w:eastAsia="Arial" w:hAnsi="Arial"/>
          <w:sz w:val="16"/>
          <w:szCs w:val="16"/>
          <w:b w:val="1"/>
          <w:bCs w:val="1"/>
          <w:color w:val="009844"/>
        </w:rPr>
        <w:t>The individuals nominated for election to the Board are all current directors and possess a broad range of qualifications and skills that facilitate strong oversight of Air Products’ management and strategy. Our directors have diverse backgrounds and experiences and have demonstrated a commitment to strong corporate governance, shareholder engagement and sustainability.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00" w:type="dxa"/>
            <w:vAlign w:val="bottom"/>
          </w:tcPr>
          <w:p>
            <w:pPr>
              <w:spacing w:after="0"/>
              <w:rPr>
                <w:sz w:val="20"/>
                <w:szCs w:val="20"/>
                <w:color w:val="auto"/>
              </w:rPr>
            </w:pPr>
            <w:r>
              <w:rPr>
                <w:rFonts w:ascii="Arial" w:cs="Arial" w:eastAsia="Arial" w:hAnsi="Arial"/>
                <w:sz w:val="16"/>
                <w:szCs w:val="16"/>
                <w:color w:val="1A1A1A"/>
              </w:rPr>
              <w:t>Charles I. Cogut</w:t>
            </w:r>
          </w:p>
        </w:tc>
        <w:tc>
          <w:tcPr>
            <w:tcW w:w="1880" w:type="dxa"/>
            <w:vAlign w:val="bottom"/>
          </w:tcPr>
          <w:p>
            <w:pPr>
              <w:ind w:left="280"/>
              <w:spacing w:after="0"/>
              <w:rPr>
                <w:sz w:val="20"/>
                <w:szCs w:val="20"/>
                <w:color w:val="auto"/>
              </w:rPr>
            </w:pPr>
            <w:r>
              <w:rPr>
                <w:rFonts w:ascii="Arial" w:cs="Arial" w:eastAsia="Arial" w:hAnsi="Arial"/>
                <w:sz w:val="16"/>
                <w:szCs w:val="16"/>
                <w:color w:val="1A1A1A"/>
              </w:rPr>
              <w:t>Seifollah Ghasemi</w:t>
            </w:r>
          </w:p>
        </w:tc>
        <w:tc>
          <w:tcPr>
            <w:tcW w:w="1900" w:type="dxa"/>
            <w:vAlign w:val="bottom"/>
            <w:gridSpan w:val="2"/>
          </w:tcPr>
          <w:p>
            <w:pPr>
              <w:ind w:left="300"/>
              <w:spacing w:after="0"/>
              <w:rPr>
                <w:sz w:val="20"/>
                <w:szCs w:val="20"/>
                <w:color w:val="auto"/>
              </w:rPr>
            </w:pPr>
            <w:r>
              <w:rPr>
                <w:rFonts w:ascii="Arial" w:cs="Arial" w:eastAsia="Arial" w:hAnsi="Arial"/>
                <w:sz w:val="16"/>
                <w:szCs w:val="16"/>
                <w:color w:val="1A1A1A"/>
              </w:rPr>
              <w:t>Edward L. Monser</w:t>
            </w:r>
          </w:p>
        </w:tc>
        <w:tc>
          <w:tcPr>
            <w:tcW w:w="1480" w:type="dxa"/>
            <w:vAlign w:val="bottom"/>
          </w:tcPr>
          <w:p>
            <w:pPr>
              <w:ind w:left="280"/>
              <w:spacing w:after="0"/>
              <w:rPr>
                <w:sz w:val="20"/>
                <w:szCs w:val="20"/>
                <w:color w:val="auto"/>
              </w:rPr>
            </w:pPr>
            <w:r>
              <w:rPr>
                <w:rFonts w:ascii="Arial" w:cs="Arial" w:eastAsia="Arial" w:hAnsi="Arial"/>
                <w:sz w:val="16"/>
                <w:szCs w:val="16"/>
                <w:color w:val="1A1A1A"/>
              </w:rPr>
              <w:t>Wayne T. Smith</w:t>
            </w:r>
          </w:p>
        </w:tc>
      </w:tr>
      <w:tr>
        <w:trPr>
          <w:trHeight w:val="200"/>
        </w:trPr>
        <w:tc>
          <w:tcPr>
            <w:tcW w:w="1600" w:type="dxa"/>
            <w:vAlign w:val="bottom"/>
          </w:tcPr>
          <w:p>
            <w:pPr>
              <w:spacing w:after="0"/>
              <w:rPr>
                <w:sz w:val="20"/>
                <w:szCs w:val="20"/>
                <w:color w:val="auto"/>
              </w:rPr>
            </w:pPr>
            <w:r>
              <w:rPr>
                <w:rFonts w:ascii="Arial" w:cs="Arial" w:eastAsia="Arial" w:hAnsi="Arial"/>
                <w:sz w:val="16"/>
                <w:szCs w:val="16"/>
                <w:color w:val="1A1A1A"/>
              </w:rPr>
              <w:t>Lisa A. Davis</w:t>
            </w:r>
          </w:p>
        </w:tc>
        <w:tc>
          <w:tcPr>
            <w:tcW w:w="1880" w:type="dxa"/>
            <w:vAlign w:val="bottom"/>
          </w:tcPr>
          <w:p>
            <w:pPr>
              <w:ind w:left="280"/>
              <w:spacing w:after="0"/>
              <w:rPr>
                <w:sz w:val="20"/>
                <w:szCs w:val="20"/>
                <w:color w:val="auto"/>
              </w:rPr>
            </w:pPr>
            <w:r>
              <w:rPr>
                <w:rFonts w:ascii="Arial" w:cs="Arial" w:eastAsia="Arial" w:hAnsi="Arial"/>
                <w:sz w:val="16"/>
                <w:szCs w:val="16"/>
                <w:color w:val="1A1A1A"/>
              </w:rPr>
              <w:t>David H.Y. Ho</w:t>
            </w:r>
          </w:p>
        </w:tc>
        <w:tc>
          <w:tcPr>
            <w:tcW w:w="1900" w:type="dxa"/>
            <w:vAlign w:val="bottom"/>
            <w:gridSpan w:val="2"/>
          </w:tcPr>
          <w:p>
            <w:pPr>
              <w:ind w:left="300"/>
              <w:spacing w:after="0"/>
              <w:rPr>
                <w:sz w:val="20"/>
                <w:szCs w:val="20"/>
                <w:color w:val="auto"/>
              </w:rPr>
            </w:pPr>
            <w:r>
              <w:rPr>
                <w:rFonts w:ascii="Arial" w:cs="Arial" w:eastAsia="Arial" w:hAnsi="Arial"/>
                <w:sz w:val="16"/>
                <w:szCs w:val="16"/>
                <w:color w:val="1A1A1A"/>
              </w:rPr>
              <w:t>Matthew H. Paull</w:t>
            </w:r>
          </w:p>
        </w:tc>
        <w:tc>
          <w:tcPr>
            <w:tcW w:w="1480" w:type="dxa"/>
            <w:vAlign w:val="bottom"/>
          </w:tcPr>
          <w:p>
            <w:pPr>
              <w:spacing w:after="0"/>
              <w:rPr>
                <w:sz w:val="17"/>
                <w:szCs w:val="17"/>
                <w:color w:val="auto"/>
              </w:rPr>
            </w:pPr>
          </w:p>
        </w:tc>
      </w:tr>
      <w:tr>
        <w:trPr>
          <w:trHeight w:val="260"/>
        </w:trPr>
        <w:tc>
          <w:tcPr>
            <w:tcW w:w="1600" w:type="dxa"/>
            <w:vAlign w:val="bottom"/>
          </w:tcPr>
          <w:p>
            <w:pPr>
              <w:spacing w:after="0"/>
              <w:rPr>
                <w:sz w:val="20"/>
                <w:szCs w:val="20"/>
                <w:color w:val="auto"/>
              </w:rPr>
            </w:pPr>
            <w:r>
              <w:rPr>
                <w:rFonts w:ascii="Arial" w:cs="Arial" w:eastAsia="Arial" w:hAnsi="Arial"/>
                <w:sz w:val="14"/>
                <w:szCs w:val="14"/>
                <w:b w:val="1"/>
                <w:bCs w:val="1"/>
                <w:color w:val="00A4E4"/>
              </w:rPr>
              <w:t>Independence</w:t>
            </w:r>
          </w:p>
        </w:tc>
        <w:tc>
          <w:tcPr>
            <w:tcW w:w="1880" w:type="dxa"/>
            <w:vAlign w:val="bottom"/>
          </w:tcPr>
          <w:p>
            <w:pPr>
              <w:ind w:left="280"/>
              <w:spacing w:after="0"/>
              <w:rPr>
                <w:sz w:val="20"/>
                <w:szCs w:val="20"/>
                <w:color w:val="auto"/>
              </w:rPr>
            </w:pPr>
            <w:r>
              <w:rPr>
                <w:rFonts w:ascii="Arial" w:cs="Arial" w:eastAsia="Arial" w:hAnsi="Arial"/>
                <w:sz w:val="14"/>
                <w:szCs w:val="14"/>
                <w:b w:val="1"/>
                <w:bCs w:val="1"/>
                <w:color w:val="00A4E4"/>
              </w:rPr>
              <w:t>Diversity</w:t>
            </w:r>
          </w:p>
        </w:tc>
        <w:tc>
          <w:tcPr>
            <w:tcW w:w="1900" w:type="dxa"/>
            <w:vAlign w:val="bottom"/>
            <w:gridSpan w:val="2"/>
          </w:tcPr>
          <w:p>
            <w:pPr>
              <w:ind w:left="300"/>
              <w:spacing w:after="0"/>
              <w:rPr>
                <w:sz w:val="20"/>
                <w:szCs w:val="20"/>
                <w:color w:val="auto"/>
              </w:rPr>
            </w:pPr>
            <w:r>
              <w:rPr>
                <w:rFonts w:ascii="Arial" w:cs="Arial" w:eastAsia="Arial" w:hAnsi="Arial"/>
                <w:sz w:val="14"/>
                <w:szCs w:val="14"/>
                <w:b w:val="1"/>
                <w:bCs w:val="1"/>
                <w:color w:val="00A4E4"/>
              </w:rPr>
              <w:t>Tenure</w:t>
            </w:r>
          </w:p>
        </w:tc>
        <w:tc>
          <w:tcPr>
            <w:tcW w:w="1480" w:type="dxa"/>
            <w:vAlign w:val="bottom"/>
          </w:tcPr>
          <w:p>
            <w:pPr>
              <w:spacing w:after="0"/>
              <w:rPr>
                <w:sz w:val="22"/>
                <w:szCs w:val="22"/>
                <w:color w:val="auto"/>
              </w:rPr>
            </w:pPr>
          </w:p>
        </w:tc>
      </w:tr>
      <w:tr>
        <w:trPr>
          <w:trHeight w:val="427"/>
        </w:trPr>
        <w:tc>
          <w:tcPr>
            <w:tcW w:w="1600" w:type="dxa"/>
            <w:vAlign w:val="bottom"/>
          </w:tcPr>
          <w:p>
            <w:pPr>
              <w:spacing w:after="0"/>
              <w:rPr>
                <w:sz w:val="20"/>
                <w:szCs w:val="20"/>
                <w:color w:val="auto"/>
              </w:rPr>
            </w:pPr>
            <w:r>
              <w:rPr>
                <w:rFonts w:ascii="Arial" w:cs="Arial" w:eastAsia="Arial" w:hAnsi="Arial"/>
                <w:sz w:val="32"/>
                <w:szCs w:val="32"/>
                <w:color w:val="00A4E4"/>
              </w:rPr>
              <w:t>86%</w:t>
            </w:r>
          </w:p>
        </w:tc>
        <w:tc>
          <w:tcPr>
            <w:tcW w:w="1880" w:type="dxa"/>
            <w:vAlign w:val="bottom"/>
          </w:tcPr>
          <w:p>
            <w:pPr>
              <w:ind w:left="280"/>
              <w:spacing w:after="0"/>
              <w:rPr>
                <w:sz w:val="20"/>
                <w:szCs w:val="20"/>
                <w:color w:val="auto"/>
              </w:rPr>
            </w:pPr>
            <w:r>
              <w:rPr>
                <w:rFonts w:ascii="Arial" w:cs="Arial" w:eastAsia="Arial" w:hAnsi="Arial"/>
                <w:sz w:val="32"/>
                <w:szCs w:val="32"/>
                <w:color w:val="00A4E4"/>
              </w:rPr>
              <w:t>43%</w:t>
            </w:r>
          </w:p>
        </w:tc>
        <w:tc>
          <w:tcPr>
            <w:tcW w:w="1900" w:type="dxa"/>
            <w:vAlign w:val="bottom"/>
            <w:gridSpan w:val="2"/>
          </w:tcPr>
          <w:p>
            <w:pPr>
              <w:ind w:left="300"/>
              <w:spacing w:after="0"/>
              <w:rPr>
                <w:sz w:val="20"/>
                <w:szCs w:val="20"/>
                <w:color w:val="auto"/>
              </w:rPr>
            </w:pPr>
            <w:r>
              <w:rPr>
                <w:rFonts w:ascii="Arial" w:cs="Arial" w:eastAsia="Arial" w:hAnsi="Arial"/>
                <w:sz w:val="32"/>
                <w:szCs w:val="32"/>
                <w:color w:val="00A4E4"/>
              </w:rPr>
              <w:t>5.9 years</w:t>
            </w:r>
          </w:p>
        </w:tc>
        <w:tc>
          <w:tcPr>
            <w:tcW w:w="1480" w:type="dxa"/>
            <w:vAlign w:val="bottom"/>
          </w:tcPr>
          <w:p>
            <w:pPr>
              <w:spacing w:after="0"/>
              <w:rPr>
                <w:sz w:val="24"/>
                <w:szCs w:val="24"/>
                <w:color w:val="auto"/>
              </w:rPr>
            </w:pPr>
          </w:p>
        </w:tc>
      </w:tr>
      <w:tr>
        <w:trPr>
          <w:trHeight w:val="245"/>
        </w:trPr>
        <w:tc>
          <w:tcPr>
            <w:tcW w:w="1600" w:type="dxa"/>
            <w:vAlign w:val="bottom"/>
          </w:tcPr>
          <w:p>
            <w:pPr>
              <w:spacing w:after="0"/>
              <w:rPr>
                <w:sz w:val="20"/>
                <w:szCs w:val="20"/>
                <w:color w:val="auto"/>
              </w:rPr>
            </w:pPr>
            <w:r>
              <w:rPr>
                <w:rFonts w:ascii="Arial" w:cs="Arial" w:eastAsia="Arial" w:hAnsi="Arial"/>
                <w:sz w:val="16"/>
                <w:szCs w:val="16"/>
                <w:color w:val="1A1A1A"/>
              </w:rPr>
              <w:t>Independent</w:t>
            </w:r>
          </w:p>
        </w:tc>
        <w:tc>
          <w:tcPr>
            <w:tcW w:w="1880" w:type="dxa"/>
            <w:vAlign w:val="bottom"/>
          </w:tcPr>
          <w:p>
            <w:pPr>
              <w:ind w:left="280"/>
              <w:spacing w:after="0"/>
              <w:rPr>
                <w:sz w:val="20"/>
                <w:szCs w:val="20"/>
                <w:color w:val="auto"/>
              </w:rPr>
            </w:pPr>
            <w:r>
              <w:rPr>
                <w:rFonts w:ascii="Arial" w:cs="Arial" w:eastAsia="Arial" w:hAnsi="Arial"/>
                <w:sz w:val="16"/>
                <w:szCs w:val="16"/>
                <w:color w:val="1A1A1A"/>
              </w:rPr>
              <w:t>Diverse</w:t>
            </w:r>
          </w:p>
        </w:tc>
        <w:tc>
          <w:tcPr>
            <w:tcW w:w="1900" w:type="dxa"/>
            <w:vAlign w:val="bottom"/>
            <w:gridSpan w:val="2"/>
          </w:tcPr>
          <w:p>
            <w:pPr>
              <w:ind w:left="300"/>
              <w:spacing w:after="0"/>
              <w:rPr>
                <w:sz w:val="20"/>
                <w:szCs w:val="20"/>
                <w:color w:val="auto"/>
              </w:rPr>
            </w:pPr>
            <w:r>
              <w:rPr>
                <w:rFonts w:ascii="Arial" w:cs="Arial" w:eastAsia="Arial" w:hAnsi="Arial"/>
                <w:sz w:val="16"/>
                <w:szCs w:val="16"/>
                <w:color w:val="1A1A1A"/>
              </w:rPr>
              <w:t>Average Tenure</w:t>
            </w:r>
          </w:p>
        </w:tc>
        <w:tc>
          <w:tcPr>
            <w:tcW w:w="1480" w:type="dxa"/>
            <w:vAlign w:val="bottom"/>
          </w:tcPr>
          <w:p>
            <w:pPr>
              <w:spacing w:after="0"/>
              <w:rPr>
                <w:sz w:val="21"/>
                <w:szCs w:val="21"/>
                <w:color w:val="auto"/>
              </w:rPr>
            </w:pPr>
          </w:p>
        </w:tc>
      </w:tr>
      <w:tr>
        <w:trPr>
          <w:trHeight w:val="670"/>
        </w:trPr>
        <w:tc>
          <w:tcPr>
            <w:tcW w:w="1600" w:type="dxa"/>
            <w:vAlign w:val="bottom"/>
          </w:tcPr>
          <w:p>
            <w:pPr>
              <w:spacing w:after="0"/>
              <w:rPr>
                <w:sz w:val="20"/>
                <w:szCs w:val="20"/>
                <w:color w:val="auto"/>
              </w:rPr>
            </w:pPr>
            <w:r>
              <w:rPr>
                <w:rFonts w:ascii="Arial" w:cs="Arial" w:eastAsia="Arial" w:hAnsi="Arial"/>
                <w:sz w:val="16"/>
                <w:szCs w:val="16"/>
                <w:b w:val="1"/>
                <w:bCs w:val="1"/>
                <w:color w:val="009844"/>
              </w:rPr>
              <w:t xml:space="preserve">6 </w:t>
            </w:r>
            <w:r>
              <w:rPr>
                <w:rFonts w:ascii="Arial" w:cs="Arial" w:eastAsia="Arial" w:hAnsi="Arial"/>
                <w:sz w:val="16"/>
                <w:szCs w:val="16"/>
                <w:color w:val="1A1A1A"/>
              </w:rPr>
              <w:t>Independent</w:t>
            </w:r>
          </w:p>
        </w:tc>
        <w:tc>
          <w:tcPr>
            <w:tcW w:w="1880" w:type="dxa"/>
            <w:vAlign w:val="bottom"/>
          </w:tcPr>
          <w:p>
            <w:pPr>
              <w:ind w:left="280"/>
              <w:spacing w:after="0"/>
              <w:rPr>
                <w:sz w:val="20"/>
                <w:szCs w:val="20"/>
                <w:color w:val="auto"/>
              </w:rPr>
            </w:pPr>
            <w:r>
              <w:rPr>
                <w:rFonts w:ascii="Arial" w:cs="Arial" w:eastAsia="Arial" w:hAnsi="Arial"/>
                <w:sz w:val="16"/>
                <w:szCs w:val="16"/>
                <w:b w:val="1"/>
                <w:bCs w:val="1"/>
                <w:color w:val="009844"/>
              </w:rPr>
              <w:t xml:space="preserve">3 </w:t>
            </w:r>
            <w:r>
              <w:rPr>
                <w:rFonts w:ascii="Arial" w:cs="Arial" w:eastAsia="Arial" w:hAnsi="Arial"/>
                <w:sz w:val="16"/>
                <w:szCs w:val="16"/>
                <w:color w:val="1A1A1A"/>
              </w:rPr>
              <w:t>Diverse</w:t>
            </w:r>
          </w:p>
        </w:tc>
        <w:tc>
          <w:tcPr>
            <w:tcW w:w="400" w:type="dxa"/>
            <w:vAlign w:val="bottom"/>
          </w:tcPr>
          <w:p>
            <w:pPr>
              <w:ind w:left="300"/>
              <w:spacing w:after="0"/>
              <w:rPr>
                <w:sz w:val="20"/>
                <w:szCs w:val="20"/>
                <w:color w:val="auto"/>
              </w:rPr>
            </w:pPr>
            <w:r>
              <w:rPr>
                <w:rFonts w:ascii="Arial" w:cs="Arial" w:eastAsia="Arial" w:hAnsi="Arial"/>
                <w:sz w:val="16"/>
                <w:szCs w:val="16"/>
                <w:b w:val="1"/>
                <w:bCs w:val="1"/>
                <w:color w:val="009844"/>
                <w:w w:val="89"/>
              </w:rPr>
              <w:t>5</w:t>
            </w:r>
          </w:p>
        </w:tc>
        <w:tc>
          <w:tcPr>
            <w:tcW w:w="2980" w:type="dxa"/>
            <w:vAlign w:val="bottom"/>
            <w:gridSpan w:val="2"/>
          </w:tcPr>
          <w:p>
            <w:pPr>
              <w:ind w:left="40"/>
              <w:spacing w:after="0"/>
              <w:rPr>
                <w:sz w:val="20"/>
                <w:szCs w:val="20"/>
                <w:color w:val="auto"/>
              </w:rPr>
            </w:pPr>
            <w:r>
              <w:rPr>
                <w:rFonts w:ascii="Arial" w:cs="Arial" w:eastAsia="Arial" w:hAnsi="Arial"/>
                <w:sz w:val="16"/>
                <w:szCs w:val="16"/>
                <w:color w:val="1A1A1A"/>
                <w:w w:val="98"/>
              </w:rPr>
              <w:t>Medium-Tenured Directors (6 to 10 years)</w:t>
            </w:r>
          </w:p>
        </w:tc>
      </w:tr>
      <w:tr>
        <w:trPr>
          <w:trHeight w:val="222"/>
        </w:trPr>
        <w:tc>
          <w:tcPr>
            <w:tcW w:w="1600" w:type="dxa"/>
            <w:vAlign w:val="bottom"/>
          </w:tcPr>
          <w:p>
            <w:pPr>
              <w:spacing w:after="0"/>
              <w:rPr>
                <w:sz w:val="20"/>
                <w:szCs w:val="20"/>
                <w:color w:val="auto"/>
              </w:rPr>
            </w:pPr>
            <w:r>
              <w:rPr>
                <w:rFonts w:ascii="Arial" w:cs="Arial" w:eastAsia="Arial" w:hAnsi="Arial"/>
                <w:sz w:val="16"/>
                <w:szCs w:val="16"/>
                <w:b w:val="1"/>
                <w:bCs w:val="1"/>
                <w:color w:val="808080"/>
              </w:rPr>
              <w:t xml:space="preserve">1 </w:t>
            </w:r>
            <w:r>
              <w:rPr>
                <w:rFonts w:ascii="Arial" w:cs="Arial" w:eastAsia="Arial" w:hAnsi="Arial"/>
                <w:sz w:val="16"/>
                <w:szCs w:val="16"/>
                <w:color w:val="1A1A1A"/>
              </w:rPr>
              <w:t>Not Independent</w:t>
            </w:r>
          </w:p>
        </w:tc>
        <w:tc>
          <w:tcPr>
            <w:tcW w:w="1880" w:type="dxa"/>
            <w:vAlign w:val="bottom"/>
          </w:tcPr>
          <w:p>
            <w:pPr>
              <w:ind w:left="280"/>
              <w:spacing w:after="0"/>
              <w:rPr>
                <w:sz w:val="20"/>
                <w:szCs w:val="20"/>
                <w:color w:val="auto"/>
              </w:rPr>
            </w:pPr>
            <w:r>
              <w:rPr>
                <w:rFonts w:ascii="Arial" w:cs="Arial" w:eastAsia="Arial" w:hAnsi="Arial"/>
                <w:sz w:val="16"/>
                <w:szCs w:val="16"/>
                <w:b w:val="1"/>
                <w:bCs w:val="1"/>
                <w:color w:val="808080"/>
              </w:rPr>
              <w:t xml:space="preserve">4 </w:t>
            </w:r>
            <w:r>
              <w:rPr>
                <w:rFonts w:ascii="Arial" w:cs="Arial" w:eastAsia="Arial" w:hAnsi="Arial"/>
                <w:sz w:val="16"/>
                <w:szCs w:val="16"/>
                <w:color w:val="1A1A1A"/>
              </w:rPr>
              <w:t>Other</w:t>
            </w:r>
          </w:p>
        </w:tc>
        <w:tc>
          <w:tcPr>
            <w:tcW w:w="400" w:type="dxa"/>
            <w:vAlign w:val="bottom"/>
          </w:tcPr>
          <w:p>
            <w:pPr>
              <w:ind w:left="300"/>
              <w:spacing w:after="0"/>
              <w:rPr>
                <w:sz w:val="20"/>
                <w:szCs w:val="20"/>
                <w:color w:val="auto"/>
              </w:rPr>
            </w:pPr>
            <w:r>
              <w:rPr>
                <w:rFonts w:ascii="Arial" w:cs="Arial" w:eastAsia="Arial" w:hAnsi="Arial"/>
                <w:sz w:val="16"/>
                <w:szCs w:val="16"/>
                <w:b w:val="1"/>
                <w:bCs w:val="1"/>
                <w:color w:val="808080"/>
                <w:w w:val="89"/>
              </w:rPr>
              <w:t>2</w:t>
            </w:r>
          </w:p>
        </w:tc>
        <w:tc>
          <w:tcPr>
            <w:tcW w:w="2980" w:type="dxa"/>
            <w:vAlign w:val="bottom"/>
            <w:gridSpan w:val="2"/>
          </w:tcPr>
          <w:p>
            <w:pPr>
              <w:ind w:left="40"/>
              <w:spacing w:after="0"/>
              <w:rPr>
                <w:sz w:val="20"/>
                <w:szCs w:val="20"/>
                <w:color w:val="auto"/>
              </w:rPr>
            </w:pPr>
            <w:r>
              <w:rPr>
                <w:rFonts w:ascii="Arial" w:cs="Arial" w:eastAsia="Arial" w:hAnsi="Arial"/>
                <w:sz w:val="16"/>
                <w:szCs w:val="16"/>
                <w:color w:val="1A1A1A"/>
              </w:rPr>
              <w:t>Newer Directors (5 years or less)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-537210</wp:posOffset>
            </wp:positionV>
            <wp:extent cx="3246120" cy="24511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246120" cy="2451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-537210</wp:posOffset>
            </wp:positionV>
            <wp:extent cx="3246120" cy="2451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246120" cy="24511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206375</wp:posOffset>
            </wp:positionV>
            <wp:extent cx="6449695" cy="10312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449695" cy="1031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 w:right="120"/>
        <w:spacing w:after="0" w:line="248" w:lineRule="auto"/>
        <w:rPr>
          <w:sz w:val="20"/>
          <w:szCs w:val="20"/>
          <w:color w:val="auto"/>
        </w:rPr>
      </w:pPr>
      <w:r>
        <w:rPr>
          <w:rFonts w:ascii="Arial" w:cs="Arial" w:eastAsia="Arial" w:hAnsi="Arial"/>
          <w:sz w:val="16"/>
          <w:szCs w:val="16"/>
          <w:color w:val="auto"/>
        </w:rPr>
        <w:t xml:space="preserve">The Board recommends a vote </w:t>
      </w:r>
      <w:r>
        <w:rPr>
          <w:rFonts w:ascii="Arial" w:cs="Arial" w:eastAsia="Arial" w:hAnsi="Arial"/>
          <w:sz w:val="16"/>
          <w:szCs w:val="16"/>
          <w:b w:val="1"/>
          <w:bCs w:val="1"/>
          <w:color w:val="00A4E4"/>
        </w:rPr>
        <w:t>“FOR”</w:t>
      </w:r>
      <w:r>
        <w:rPr>
          <w:rFonts w:ascii="Arial" w:cs="Arial" w:eastAsia="Arial" w:hAnsi="Arial"/>
          <w:sz w:val="16"/>
          <w:szCs w:val="16"/>
          <w:color w:val="auto"/>
        </w:rPr>
        <w:t xml:space="preserve"> each of the seven nominees.</w:t>
      </w:r>
    </w:p>
    <w:p>
      <w:pPr>
        <w:spacing w:after="0" w:line="148" w:lineRule="exact"/>
        <w:rPr>
          <w:sz w:val="20"/>
          <w:szCs w:val="20"/>
          <w:color w:val="auto"/>
        </w:rPr>
      </w:pPr>
    </w:p>
    <w:p>
      <w:pPr>
        <w:ind w:left="106" w:hanging="106"/>
        <w:spacing w:after="0"/>
        <w:tabs>
          <w:tab w:leader="none" w:pos="106" w:val="left"/>
        </w:tabs>
        <w:numPr>
          <w:ilvl w:val="0"/>
          <w:numId w:val="11"/>
        </w:numPr>
        <w:rPr>
          <w:rFonts w:ascii="Arial" w:cs="Arial" w:eastAsia="Arial" w:hAnsi="Arial"/>
          <w:sz w:val="16"/>
          <w:szCs w:val="16"/>
          <w:color w:val="009844"/>
        </w:rPr>
      </w:pPr>
      <w:r>
        <w:rPr>
          <w:rFonts w:ascii="Arial" w:cs="Arial" w:eastAsia="Arial" w:hAnsi="Arial"/>
          <w:sz w:val="16"/>
          <w:szCs w:val="16"/>
          <w:color w:val="auto"/>
        </w:rPr>
        <w:t>Page 8</w:t>
      </w:r>
    </w:p>
    <w:p>
      <w:pPr>
        <w:spacing w:after="0" w:line="2458" w:lineRule="exact"/>
        <w:rPr>
          <w:sz w:val="20"/>
          <w:szCs w:val="20"/>
          <w:color w:val="auto"/>
        </w:rPr>
      </w:pPr>
    </w:p>
    <w:p>
      <w:pPr>
        <w:sectPr>
          <w:pgSz w:w="11900" w:h="16838" w:orient="portrait"/>
          <w:cols w:equalWidth="0" w:num="3">
            <w:col w:w="900" w:space="400"/>
            <w:col w:w="7400" w:space="474"/>
            <w:col w:w="1966"/>
          </w:cols>
          <w:pgMar w:left="320" w:top="140" w:right="439" w:bottom="1440" w:gutter="0" w:footer="0" w:header="0"/>
          <w:type w:val="continuous"/>
        </w:sectPr>
      </w:pPr>
    </w:p>
    <w:p>
      <w:pPr>
        <w:spacing w:after="0" w:line="291"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FFFFFF"/>
        </w:rPr>
        <w:t>PROPOSAL</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64"/>
          <w:szCs w:val="64"/>
          <w:color w:val="FFFFFF"/>
        </w:rPr>
        <w:t>2</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Conduct an advisory vote on executive officer compensation.</w:t>
      </w:r>
    </w:p>
    <w:p>
      <w:pPr>
        <w:spacing w:after="0" w:line="9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b w:val="1"/>
          <w:bCs w:val="1"/>
          <w:color w:val="009A4B"/>
        </w:rPr>
        <w:t>As described in the Compensation Discussion and Analysis, our executive officer compensation program has been designed to support our long-term business strategies and drive creation of shareholder value. It is aligned with the competitive market for talent, sensitive to Company performance and oriented to long-term incentives to maintain and improve the Company’s long-term profitability. We believe our program delivers reasonable pay that is strongly linked to Company performance.</w:t>
      </w:r>
    </w:p>
    <w:p>
      <w:pPr>
        <w:spacing w:after="0" w:line="148"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The majority of compensation provided to the Company’s executive officers is dependent upon total returns delivered to shareholders and the achievement of performance objectives. Approximately 90% of the CEO’s total direct compensation opportunity is performance-based to ensure that compensation directly reflects the creation of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4792980" cy="203708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792980" cy="20370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 xml:space="preserve">The Board recommends a vote </w:t>
      </w:r>
      <w:r>
        <w:rPr>
          <w:rFonts w:ascii="Arial" w:cs="Arial" w:eastAsia="Arial" w:hAnsi="Arial"/>
          <w:sz w:val="16"/>
          <w:szCs w:val="16"/>
          <w:b w:val="1"/>
          <w:bCs w:val="1"/>
          <w:color w:val="00A4E4"/>
        </w:rPr>
        <w:t>“FOR”</w:t>
      </w:r>
      <w:r>
        <w:rPr>
          <w:rFonts w:ascii="Arial" w:cs="Arial" w:eastAsia="Arial" w:hAnsi="Arial"/>
          <w:sz w:val="16"/>
          <w:szCs w:val="16"/>
          <w:color w:val="auto"/>
        </w:rPr>
        <w:t xml:space="preserve"> this item.</w:t>
      </w:r>
    </w:p>
    <w:p>
      <w:pPr>
        <w:spacing w:after="0" w:line="143" w:lineRule="exact"/>
        <w:rPr>
          <w:sz w:val="20"/>
          <w:szCs w:val="20"/>
          <w:color w:val="auto"/>
        </w:rPr>
      </w:pPr>
    </w:p>
    <w:p>
      <w:pPr>
        <w:ind w:left="120" w:hanging="113"/>
        <w:spacing w:after="0"/>
        <w:tabs>
          <w:tab w:leader="none" w:pos="120" w:val="left"/>
        </w:tabs>
        <w:numPr>
          <w:ilvl w:val="0"/>
          <w:numId w:val="12"/>
        </w:numPr>
        <w:rPr>
          <w:rFonts w:ascii="Arial" w:cs="Arial" w:eastAsia="Arial" w:hAnsi="Arial"/>
          <w:sz w:val="16"/>
          <w:szCs w:val="16"/>
          <w:color w:val="009844"/>
        </w:rPr>
      </w:pPr>
      <w:r>
        <w:rPr>
          <w:rFonts w:ascii="Arial" w:cs="Arial" w:eastAsia="Arial" w:hAnsi="Arial"/>
          <w:sz w:val="16"/>
          <w:szCs w:val="16"/>
          <w:color w:val="auto"/>
        </w:rPr>
        <w:t>Page 27</w:t>
      </w:r>
    </w:p>
    <w:p>
      <w:pPr>
        <w:spacing w:after="0" w:line="1236" w:lineRule="exact"/>
        <w:rPr>
          <w:sz w:val="20"/>
          <w:szCs w:val="20"/>
          <w:color w:val="auto"/>
        </w:rPr>
      </w:pPr>
    </w:p>
    <w:p>
      <w:pPr>
        <w:sectPr>
          <w:pgSz w:w="11900" w:h="16838" w:orient="portrait"/>
          <w:cols w:equalWidth="0" w:num="3">
            <w:col w:w="900" w:space="420"/>
            <w:col w:w="7360" w:space="540"/>
            <w:col w:w="1920"/>
          </w:cols>
          <w:pgMar w:left="320" w:top="140"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009844"/>
        </w:rPr>
        <w:t>Say on Pay Support</w:t>
      </w:r>
    </w:p>
    <w:p>
      <w:pPr>
        <w:spacing w:after="0" w:line="76" w:lineRule="exact"/>
        <w:rPr>
          <w:sz w:val="20"/>
          <w:szCs w:val="20"/>
          <w:color w:val="auto"/>
        </w:rPr>
      </w:pPr>
    </w:p>
    <w:p>
      <w:pPr>
        <w:jc w:val="both"/>
        <w:ind w:left="1420" w:right="2680"/>
        <w:spacing w:after="0" w:line="262" w:lineRule="auto"/>
        <w:rPr>
          <w:sz w:val="20"/>
          <w:szCs w:val="20"/>
          <w:color w:val="auto"/>
        </w:rPr>
      </w:pPr>
      <w:r>
        <w:rPr>
          <w:rFonts w:ascii="Arial" w:cs="Arial" w:eastAsia="Arial" w:hAnsi="Arial"/>
          <w:sz w:val="16"/>
          <w:szCs w:val="16"/>
          <w:color w:val="1A1A1A"/>
        </w:rPr>
        <w:t xml:space="preserve">At the 2021 Annual Meeting of Shareholders, our shareholders supported the Company’s executive officer compensation program with approximately </w:t>
      </w:r>
      <w:r>
        <w:rPr>
          <w:rFonts w:ascii="Arial" w:cs="Arial" w:eastAsia="Arial" w:hAnsi="Arial"/>
          <w:sz w:val="31"/>
          <w:szCs w:val="31"/>
          <w:color w:val="00A4E4"/>
        </w:rPr>
        <w:t>94.55%</w:t>
      </w:r>
      <w:r>
        <w:rPr>
          <w:rFonts w:ascii="Arial" w:cs="Arial" w:eastAsia="Arial" w:hAnsi="Arial"/>
          <w:sz w:val="16"/>
          <w:szCs w:val="16"/>
          <w:color w:val="1A1A1A"/>
        </w:rPr>
        <w:t xml:space="preserve"> of votes cast in favor of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241300</wp:posOffset>
            </wp:positionV>
            <wp:extent cx="845185" cy="2025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45185" cy="202565"/>
                    </a:xfrm>
                    <a:prstGeom prst="rect">
                      <a:avLst/>
                    </a:prstGeom>
                    <a:noFill/>
                  </pic:spPr>
                </pic:pic>
              </a:graphicData>
            </a:graphic>
          </wp:anchor>
        </w:drawing>
      </w: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140970</wp:posOffset>
            </wp:positionV>
            <wp:extent cx="7155180" cy="209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type w:val="continuous"/>
        </w:sectPr>
      </w:pPr>
    </w:p>
    <w:bookmarkStart w:id="9" w:name="page10"/>
    <w:bookmarkEnd w:id="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34225" cy="152146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4225" cy="152146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384"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FFFFFF"/>
        </w:rPr>
        <w:t>PROPOSAL</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64"/>
          <w:szCs w:val="64"/>
          <w:color w:val="FFFFFF"/>
        </w:rPr>
        <w:t>3</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jc w:val="both"/>
        <w:ind w:right="20"/>
        <w:spacing w:after="0" w:line="306" w:lineRule="auto"/>
        <w:rPr>
          <w:sz w:val="20"/>
          <w:szCs w:val="20"/>
          <w:color w:val="auto"/>
        </w:rPr>
      </w:pPr>
      <w:r>
        <w:rPr>
          <w:rFonts w:ascii="Arial" w:cs="Arial" w:eastAsia="Arial" w:hAnsi="Arial"/>
          <w:sz w:val="18"/>
          <w:szCs w:val="18"/>
          <w:b w:val="1"/>
          <w:bCs w:val="1"/>
          <w:color w:val="auto"/>
        </w:rPr>
        <w:t>Ratify the appointment of Deloitte &amp; Touche LLP as the Company’s independent registered public accounting firm for the fiscal year ending September 30, 2022.</w:t>
      </w:r>
    </w:p>
    <w:p>
      <w:pPr>
        <w:spacing w:after="0" w:line="14" w:lineRule="exact"/>
        <w:rPr>
          <w:sz w:val="20"/>
          <w:szCs w:val="20"/>
          <w:color w:val="auto"/>
        </w:rPr>
      </w:pPr>
    </w:p>
    <w:p>
      <w:pPr>
        <w:spacing w:after="0" w:line="252" w:lineRule="auto"/>
        <w:rPr>
          <w:sz w:val="20"/>
          <w:szCs w:val="20"/>
          <w:color w:val="auto"/>
        </w:rPr>
      </w:pPr>
      <w:r>
        <w:rPr>
          <w:rFonts w:ascii="Arial" w:cs="Arial" w:eastAsia="Arial" w:hAnsi="Arial"/>
          <w:sz w:val="16"/>
          <w:szCs w:val="16"/>
          <w:b w:val="1"/>
          <w:bCs w:val="1"/>
          <w:color w:val="009A4B"/>
        </w:rPr>
        <w:t>The Audit and Finance Committee selected Deloitte &amp; Touche LLP (“Deloitte”) as our independent registered public accounting firm for fiscal 2022. The Board believes that the engagement of Deloitte as our independent registered public accounting firm for fiscal 2022 is in the best interests of the Company and is submitting the appointment of Deloitte to our shareholders for ratification as a matter of good corporate governance.</w:t>
      </w:r>
    </w:p>
    <w:p>
      <w:pPr>
        <w:spacing w:after="0" w:line="92" w:lineRule="exact"/>
        <w:rPr>
          <w:sz w:val="20"/>
          <w:szCs w:val="20"/>
          <w:color w:val="auto"/>
        </w:rPr>
      </w:pPr>
    </w:p>
    <w:p>
      <w:pPr>
        <w:jc w:val="both"/>
        <w:ind w:right="220"/>
        <w:spacing w:after="0" w:line="248" w:lineRule="auto"/>
        <w:rPr>
          <w:sz w:val="20"/>
          <w:szCs w:val="20"/>
          <w:color w:val="auto"/>
        </w:rPr>
      </w:pPr>
      <w:r>
        <w:rPr>
          <w:rFonts w:ascii="Arial" w:cs="Arial" w:eastAsia="Arial" w:hAnsi="Arial"/>
          <w:sz w:val="16"/>
          <w:szCs w:val="16"/>
          <w:color w:val="1A1A1A"/>
        </w:rPr>
        <w:t>This proposal requests that our shareholders ratify the Audit and Finance Committee’s appointment of Deloitte as our independent registered public accounting firm for the fiscal year ending September 30, 2022. Deloitte has served as our independent registered public accounting firm since fiscal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 w:right="220"/>
        <w:spacing w:after="0" w:line="254" w:lineRule="auto"/>
        <w:rPr>
          <w:sz w:val="20"/>
          <w:szCs w:val="20"/>
          <w:color w:val="auto"/>
        </w:rPr>
      </w:pPr>
      <w:r>
        <w:rPr>
          <w:rFonts w:ascii="Arial" w:cs="Arial" w:eastAsia="Arial" w:hAnsi="Arial"/>
          <w:sz w:val="16"/>
          <w:szCs w:val="16"/>
          <w:color w:val="auto"/>
        </w:rPr>
        <w:t xml:space="preserve">The Board recommends a vote </w:t>
      </w:r>
      <w:r>
        <w:rPr>
          <w:rFonts w:ascii="Arial" w:cs="Arial" w:eastAsia="Arial" w:hAnsi="Arial"/>
          <w:sz w:val="16"/>
          <w:szCs w:val="16"/>
          <w:b w:val="1"/>
          <w:bCs w:val="1"/>
          <w:color w:val="00A4E4"/>
        </w:rPr>
        <w:t>“FOR”</w:t>
      </w:r>
      <w:r>
        <w:rPr>
          <w:rFonts w:ascii="Arial" w:cs="Arial" w:eastAsia="Arial" w:hAnsi="Arial"/>
          <w:sz w:val="16"/>
          <w:szCs w:val="16"/>
          <w:color w:val="auto"/>
        </w:rPr>
        <w:t xml:space="preserve"> this item.</w:t>
      </w:r>
    </w:p>
    <w:p>
      <w:pPr>
        <w:spacing w:after="0" w:line="143" w:lineRule="exact"/>
        <w:rPr>
          <w:sz w:val="20"/>
          <w:szCs w:val="20"/>
          <w:color w:val="auto"/>
        </w:rPr>
      </w:pPr>
    </w:p>
    <w:p>
      <w:pPr>
        <w:ind w:left="106" w:hanging="106"/>
        <w:spacing w:after="0"/>
        <w:tabs>
          <w:tab w:leader="none" w:pos="106" w:val="left"/>
        </w:tabs>
        <w:numPr>
          <w:ilvl w:val="0"/>
          <w:numId w:val="13"/>
        </w:numPr>
        <w:rPr>
          <w:rFonts w:ascii="Arial" w:cs="Arial" w:eastAsia="Arial" w:hAnsi="Arial"/>
          <w:sz w:val="16"/>
          <w:szCs w:val="16"/>
          <w:color w:val="009844"/>
        </w:rPr>
      </w:pPr>
      <w:r>
        <w:rPr>
          <w:rFonts w:ascii="Arial" w:cs="Arial" w:eastAsia="Arial" w:hAnsi="Arial"/>
          <w:sz w:val="16"/>
          <w:szCs w:val="16"/>
          <w:color w:val="auto"/>
        </w:rPr>
        <w:t>Page 61</w:t>
      </w:r>
    </w:p>
    <w:p>
      <w:pPr>
        <w:spacing w:after="0" w:line="1025" w:lineRule="exact"/>
        <w:rPr>
          <w:sz w:val="20"/>
          <w:szCs w:val="20"/>
          <w:color w:val="auto"/>
        </w:rPr>
      </w:pPr>
    </w:p>
    <w:p>
      <w:pPr>
        <w:sectPr>
          <w:pgSz w:w="11900" w:h="16838" w:orient="portrait"/>
          <w:cols w:equalWidth="0" w:num="3">
            <w:col w:w="900" w:space="420"/>
            <w:col w:w="7420" w:space="434"/>
            <w:col w:w="2066"/>
          </w:cols>
          <w:pgMar w:left="320" w:top="140" w:right="339" w:bottom="1440" w:gutter="0" w:footer="0" w:header="0"/>
          <w:type w:val="continuous"/>
        </w:sectPr>
      </w:pPr>
    </w:p>
    <w:p>
      <w:pPr>
        <w:spacing w:after="0" w:line="13" w:lineRule="exact"/>
        <w:rPr>
          <w:sz w:val="20"/>
          <w:szCs w:val="20"/>
          <w:color w:val="auto"/>
        </w:rPr>
      </w:pPr>
    </w:p>
    <w:p>
      <w:pPr>
        <w:ind w:left="9520"/>
        <w:spacing w:after="0"/>
        <w:tabs>
          <w:tab w:leader="none" w:pos="11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55180" cy="209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134225" cy="13271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4225" cy="132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80"/>
        <w:spacing w:after="0"/>
        <w:rPr>
          <w:sz w:val="20"/>
          <w:szCs w:val="20"/>
          <w:color w:val="auto"/>
        </w:rPr>
      </w:pPr>
      <w:r>
        <w:rPr>
          <w:rFonts w:ascii="Arial" w:cs="Arial" w:eastAsia="Arial" w:hAnsi="Arial"/>
          <w:sz w:val="44"/>
          <w:szCs w:val="44"/>
          <w:b w:val="1"/>
          <w:bCs w:val="1"/>
          <w:color w:val="009A4B"/>
        </w:rPr>
        <w:t>Corporate Governance at Air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264795</wp:posOffset>
            </wp:positionV>
            <wp:extent cx="7134225" cy="23329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4225" cy="233299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tbl>
      <w:tblPr>
        <w:tblLayout w:type="fixed"/>
        <w:tblInd w:w="220" w:type="dxa"/>
        <w:tblCellMar>
          <w:top w:w="0" w:type="dxa"/>
          <w:left w:w="0" w:type="dxa"/>
          <w:bottom w:w="0" w:type="dxa"/>
          <w:right w:w="0" w:type="dxa"/>
        </w:tblCellMar>
      </w:tblPr>
      <w:tr>
        <w:trPr>
          <w:trHeight w:val="259"/>
        </w:trPr>
        <w:tc>
          <w:tcPr>
            <w:tcW w:w="900" w:type="dxa"/>
            <w:vAlign w:val="bottom"/>
            <w:vMerge w:val="restart"/>
          </w:tcPr>
          <w:p>
            <w:pPr>
              <w:spacing w:after="0"/>
              <w:rPr>
                <w:sz w:val="20"/>
                <w:szCs w:val="20"/>
                <w:color w:val="auto"/>
              </w:rPr>
            </w:pPr>
            <w:r>
              <w:rPr>
                <w:rFonts w:ascii="Arial" w:cs="Arial" w:eastAsia="Arial" w:hAnsi="Arial"/>
                <w:sz w:val="12"/>
                <w:szCs w:val="12"/>
                <w:b w:val="1"/>
                <w:bCs w:val="1"/>
                <w:color w:val="FFFFFF"/>
              </w:rPr>
              <w:t>PROPOSAL</w:t>
            </w:r>
          </w:p>
        </w:tc>
        <w:tc>
          <w:tcPr>
            <w:tcW w:w="2100" w:type="dxa"/>
            <w:vAlign w:val="bottom"/>
          </w:tcPr>
          <w:p>
            <w:pPr>
              <w:ind w:left="200"/>
              <w:spacing w:after="0"/>
              <w:rPr>
                <w:sz w:val="20"/>
                <w:szCs w:val="20"/>
                <w:color w:val="auto"/>
              </w:rPr>
            </w:pPr>
            <w:r>
              <w:rPr>
                <w:rFonts w:ascii="Arial" w:cs="Arial" w:eastAsia="Arial" w:hAnsi="Arial"/>
                <w:sz w:val="20"/>
                <w:szCs w:val="20"/>
                <w:b w:val="1"/>
                <w:bCs w:val="1"/>
                <w:color w:val="auto"/>
                <w:w w:val="96"/>
              </w:rPr>
              <w:t>Election of Directors</w:t>
            </w:r>
          </w:p>
        </w:tc>
        <w:tc>
          <w:tcPr>
            <w:tcW w:w="0" w:type="dxa"/>
            <w:vAlign w:val="bottom"/>
          </w:tcPr>
          <w:p>
            <w:pPr>
              <w:spacing w:after="0"/>
              <w:rPr>
                <w:sz w:val="1"/>
                <w:szCs w:val="1"/>
                <w:color w:val="auto"/>
              </w:rPr>
            </w:pPr>
          </w:p>
        </w:tc>
      </w:tr>
      <w:tr>
        <w:trPr>
          <w:trHeight w:val="43"/>
        </w:trPr>
        <w:tc>
          <w:tcPr>
            <w:tcW w:w="900" w:type="dxa"/>
            <w:vAlign w:val="bottom"/>
            <w:vMerge w:val="continue"/>
          </w:tcPr>
          <w:p>
            <w:pPr>
              <w:spacing w:after="0"/>
              <w:rPr>
                <w:sz w:val="3"/>
                <w:szCs w:val="3"/>
                <w:color w:val="auto"/>
              </w:rPr>
            </w:pPr>
          </w:p>
        </w:tc>
        <w:tc>
          <w:tcPr>
            <w:tcW w:w="2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1320" w:hanging="925"/>
        <w:spacing w:after="0" w:line="204" w:lineRule="auto"/>
        <w:tabs>
          <w:tab w:leader="none" w:pos="1320" w:val="left"/>
        </w:tabs>
        <w:numPr>
          <w:ilvl w:val="0"/>
          <w:numId w:val="14"/>
        </w:numPr>
        <w:rPr>
          <w:rFonts w:ascii="Arial" w:cs="Arial" w:eastAsia="Arial" w:hAnsi="Arial"/>
          <w:sz w:val="59"/>
          <w:szCs w:val="59"/>
          <w:color w:val="FFFFFF"/>
        </w:rPr>
      </w:pPr>
      <w:r>
        <w:rPr>
          <w:rFonts w:ascii="Arial" w:cs="Arial" w:eastAsia="Arial" w:hAnsi="Arial"/>
          <w:sz w:val="15"/>
          <w:szCs w:val="15"/>
          <w:color w:val="auto"/>
        </w:rPr>
        <w:t>The Board has nominated seven incumbent directors for election to the Board for terms expiring at the 2023 Annual Meeting of Shareholders following the election and qualification of their successors: Charles I. Cogut, Lisa A. Davis, Seifollah (“Seifi”) Ghasemi, David H.Y. Ho, Edward L. Monser, Matthew H. Paull and Wayne T. Smith. Biographical information on these nominees and a description of their qualifications to serve as directors appears beginning on page 10. Each nominee elected as a director is expected to continue in office until his or her term expires or until his or her earlier retirement, resignation, removal or death.</w:t>
      </w:r>
    </w:p>
    <w:p>
      <w:pPr>
        <w:spacing w:after="0" w:line="154" w:lineRule="exact"/>
        <w:rPr>
          <w:rFonts w:ascii="Arial" w:cs="Arial" w:eastAsia="Arial" w:hAnsi="Arial"/>
          <w:sz w:val="59"/>
          <w:szCs w:val="59"/>
          <w:color w:val="FFFFFF"/>
        </w:rPr>
      </w:pPr>
    </w:p>
    <w:p>
      <w:pPr>
        <w:ind w:left="1320" w:right="300"/>
        <w:spacing w:after="0" w:line="246" w:lineRule="auto"/>
        <w:rPr>
          <w:rFonts w:ascii="Arial" w:cs="Arial" w:eastAsia="Arial" w:hAnsi="Arial"/>
          <w:sz w:val="59"/>
          <w:szCs w:val="59"/>
          <w:color w:val="FFFFFF"/>
        </w:rPr>
      </w:pPr>
      <w:r>
        <w:rPr>
          <w:rFonts w:ascii="Arial" w:cs="Arial" w:eastAsia="Arial" w:hAnsi="Arial"/>
          <w:sz w:val="16"/>
          <w:szCs w:val="16"/>
          <w:color w:val="auto"/>
        </w:rPr>
        <w:t>Each of the nominees has consented to be named in this proxy statement and has agreed to serve if elected. If a nominee is unavailable for election at the time of the Annual Meeting, the Company representatives named on the proxy card will vote for another nominee proposed by the Board or, as an alternative, the Board may reduce the number of directors on the Board.</w:t>
      </w:r>
    </w:p>
    <w:p>
      <w:pPr>
        <w:spacing w:after="0" w:line="190" w:lineRule="exact"/>
        <w:rPr>
          <w:rFonts w:ascii="Arial" w:cs="Arial" w:eastAsia="Arial" w:hAnsi="Arial"/>
          <w:sz w:val="59"/>
          <w:szCs w:val="59"/>
          <w:color w:val="FFFFFF"/>
        </w:rPr>
      </w:pPr>
    </w:p>
    <w:p>
      <w:pPr>
        <w:ind w:left="1320" w:right="40"/>
        <w:spacing w:after="0" w:line="246" w:lineRule="auto"/>
        <w:rPr>
          <w:rFonts w:ascii="Arial" w:cs="Arial" w:eastAsia="Arial" w:hAnsi="Arial"/>
          <w:sz w:val="59"/>
          <w:szCs w:val="59"/>
          <w:color w:val="FFFFFF"/>
        </w:rPr>
      </w:pPr>
      <w:r>
        <w:rPr>
          <w:rFonts w:ascii="Arial" w:cs="Arial" w:eastAsia="Arial" w:hAnsi="Arial"/>
          <w:sz w:val="16"/>
          <w:szCs w:val="16"/>
          <w:color w:val="009A4B"/>
        </w:rPr>
        <w:t>All of the individuals nominated for election to the Board are current directors and possess a broad range of qualifications and skills that facilitate strong oversight of Air Products’ management and strategy. Our directors have diverse backgrounds and experiences and have demonstrated a commitment to strong corporate governance, shareholder engagement and sustainability.</w:t>
      </w:r>
    </w:p>
    <w:p>
      <w:pPr>
        <w:spacing w:after="0" w:line="201" w:lineRule="exact"/>
        <w:rPr>
          <w:sz w:val="20"/>
          <w:szCs w:val="20"/>
          <w:color w:val="auto"/>
        </w:rPr>
      </w:pPr>
    </w:p>
    <w:p>
      <w:pPr>
        <w:spacing w:after="0"/>
        <w:rPr>
          <w:sz w:val="20"/>
          <w:szCs w:val="20"/>
          <w:color w:val="auto"/>
        </w:rPr>
      </w:pPr>
      <w:r>
        <w:rPr>
          <w:rFonts w:ascii="Arial" w:cs="Arial" w:eastAsia="Arial" w:hAnsi="Arial"/>
          <w:sz w:val="35"/>
          <w:szCs w:val="35"/>
          <w:color w:val="009A4B"/>
        </w:rPr>
        <w:t>The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28"/>
          <w:szCs w:val="28"/>
          <w:color w:val="009A4B"/>
        </w:rPr>
        <w:t>Selection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5756275"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75627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220"/>
        <w:spacing w:after="0" w:line="283" w:lineRule="auto"/>
        <w:rPr>
          <w:sz w:val="20"/>
          <w:szCs w:val="20"/>
          <w:color w:val="auto"/>
        </w:rPr>
      </w:pPr>
      <w:r>
        <w:rPr>
          <w:rFonts w:ascii="Arial" w:cs="Arial" w:eastAsia="Arial" w:hAnsi="Arial"/>
          <w:sz w:val="15"/>
          <w:szCs w:val="15"/>
          <w:color w:val="1A1A1A"/>
        </w:rPr>
        <w:t xml:space="preserve">The Board recommends a vote </w:t>
      </w:r>
      <w:r>
        <w:rPr>
          <w:rFonts w:ascii="Arial" w:cs="Arial" w:eastAsia="Arial" w:hAnsi="Arial"/>
          <w:sz w:val="15"/>
          <w:szCs w:val="15"/>
          <w:color w:val="00A4E4"/>
        </w:rPr>
        <w:t>“FOR”</w:t>
      </w:r>
      <w:r>
        <w:rPr>
          <w:rFonts w:ascii="Arial" w:cs="Arial" w:eastAsia="Arial" w:hAnsi="Arial"/>
          <w:sz w:val="15"/>
          <w:szCs w:val="15"/>
          <w:color w:val="1A1A1A"/>
        </w:rPr>
        <w:t xml:space="preserve"> the election of Mr. Cogut, Ms. Davis, Mr. Ghasemi, Mr. Ho, Mr. Monser, Mr. Paull and Mr.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1810385</wp:posOffset>
            </wp:positionV>
            <wp:extent cx="1360805"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360805" cy="17145"/>
                    </a:xfrm>
                    <a:prstGeom prst="rect">
                      <a:avLst/>
                    </a:prstGeom>
                    <a:noFill/>
                  </pic:spPr>
                </pic:pic>
              </a:graphicData>
            </a:graphic>
          </wp:anchor>
        </w:drawing>
      </w:r>
    </w:p>
    <w:p>
      <w:pPr>
        <w:spacing w:after="0" w:line="3036" w:lineRule="exact"/>
        <w:rPr>
          <w:sz w:val="20"/>
          <w:szCs w:val="20"/>
          <w:color w:val="auto"/>
        </w:rPr>
      </w:pPr>
    </w:p>
    <w:p>
      <w:pPr>
        <w:sectPr>
          <w:pgSz w:w="11900" w:h="16838" w:orient="portrait"/>
          <w:cols w:equalWidth="0" w:num="2">
            <w:col w:w="8920" w:space="360"/>
            <w:col w:w="1960"/>
          </w:cols>
          <w:pgMar w:left="320" w:top="140" w:right="339" w:bottom="1440"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Tenure</w:t>
            </w:r>
          </w:p>
        </w:tc>
        <w:tc>
          <w:tcPr>
            <w:tcW w:w="640" w:type="dxa"/>
            <w:vAlign w:val="bottom"/>
            <w:tcBorders>
              <w:bottom w:val="single" w:sz="8" w:color="009A4B"/>
            </w:tcBorders>
          </w:tcPr>
          <w:p>
            <w:pPr>
              <w:spacing w:after="0"/>
              <w:rPr>
                <w:sz w:val="17"/>
                <w:szCs w:val="17"/>
                <w:color w:val="auto"/>
              </w:rPr>
            </w:pPr>
          </w:p>
        </w:tc>
        <w:tc>
          <w:tcPr>
            <w:tcW w:w="1300" w:type="dxa"/>
            <w:vAlign w:val="bottom"/>
            <w:tcBorders>
              <w:bottom w:val="single" w:sz="8" w:color="009A4B"/>
            </w:tcBorders>
            <w:gridSpan w:val="2"/>
          </w:tcPr>
          <w:p>
            <w:pPr>
              <w:ind w:left="280"/>
              <w:spacing w:after="0"/>
              <w:rPr>
                <w:sz w:val="20"/>
                <w:szCs w:val="20"/>
                <w:color w:val="auto"/>
              </w:rPr>
            </w:pPr>
            <w:r>
              <w:rPr>
                <w:rFonts w:ascii="Arial" w:cs="Arial" w:eastAsia="Arial" w:hAnsi="Arial"/>
                <w:sz w:val="14"/>
                <w:szCs w:val="14"/>
                <w:b w:val="1"/>
                <w:bCs w:val="1"/>
                <w:color w:val="009A4B"/>
              </w:rPr>
              <w:t>Committees</w:t>
            </w:r>
          </w:p>
        </w:tc>
        <w:tc>
          <w:tcPr>
            <w:tcW w:w="720" w:type="dxa"/>
            <w:vAlign w:val="bottom"/>
            <w:tcBorders>
              <w:bottom w:val="single" w:sz="8" w:color="009A4B"/>
            </w:tcBorders>
          </w:tcPr>
          <w:p>
            <w:pPr>
              <w:spacing w:after="0"/>
              <w:rPr>
                <w:sz w:val="17"/>
                <w:szCs w:val="17"/>
                <w:color w:val="auto"/>
              </w:rPr>
            </w:pPr>
          </w:p>
        </w:tc>
      </w:tr>
      <w:tr>
        <w:trPr>
          <w:trHeight w:val="220"/>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 and Current or Previous Position</w:t>
            </w:r>
          </w:p>
        </w:tc>
        <w:tc>
          <w:tcPr>
            <w:tcW w:w="2720" w:type="dxa"/>
            <w:vAlign w:val="bottom"/>
            <w:tcBorders>
              <w:bottom w:val="single" w:sz="8" w:color="auto"/>
            </w:tcBorders>
          </w:tcPr>
          <w:p>
            <w:pPr>
              <w:ind w:left="2060"/>
              <w:spacing w:after="0"/>
              <w:rPr>
                <w:sz w:val="20"/>
                <w:szCs w:val="20"/>
                <w:color w:val="auto"/>
              </w:rPr>
            </w:pPr>
            <w:r>
              <w:rPr>
                <w:rFonts w:ascii="Arial" w:cs="Arial" w:eastAsia="Arial" w:hAnsi="Arial"/>
                <w:sz w:val="14"/>
                <w:szCs w:val="14"/>
                <w:b w:val="1"/>
                <w:bCs w:val="1"/>
                <w:color w:val="auto"/>
              </w:rPr>
              <w:t>Diverse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(Full Years)</w:t>
            </w:r>
          </w:p>
        </w:tc>
        <w:tc>
          <w:tcPr>
            <w:tcW w:w="640" w:type="dxa"/>
            <w:vAlign w:val="bottom"/>
          </w:tcPr>
          <w:p>
            <w:pPr>
              <w:ind w:left="240"/>
              <w:spacing w:after="0"/>
              <w:rPr>
                <w:sz w:val="20"/>
                <w:szCs w:val="20"/>
                <w:color w:val="auto"/>
              </w:rPr>
            </w:pPr>
            <w:r>
              <w:rPr>
                <w:rFonts w:ascii="Arial" w:cs="Arial" w:eastAsia="Arial" w:hAnsi="Arial"/>
                <w:sz w:val="14"/>
                <w:szCs w:val="14"/>
                <w:b w:val="1"/>
                <w:bCs w:val="1"/>
                <w:color w:val="009A4B"/>
              </w:rPr>
              <w:t>AF</w:t>
            </w:r>
          </w:p>
        </w:tc>
        <w:tc>
          <w:tcPr>
            <w:tcW w:w="740" w:type="dxa"/>
            <w:vAlign w:val="bottom"/>
          </w:tcPr>
          <w:p>
            <w:pPr>
              <w:ind w:left="200"/>
              <w:spacing w:after="0"/>
              <w:rPr>
                <w:sz w:val="20"/>
                <w:szCs w:val="20"/>
                <w:color w:val="auto"/>
              </w:rPr>
            </w:pPr>
            <w:r>
              <w:rPr>
                <w:rFonts w:ascii="Arial" w:cs="Arial" w:eastAsia="Arial" w:hAnsi="Arial"/>
                <w:sz w:val="14"/>
                <w:szCs w:val="14"/>
                <w:b w:val="1"/>
                <w:bCs w:val="1"/>
                <w:color w:val="009A4B"/>
              </w:rPr>
              <w:t>CGN</w:t>
            </w:r>
          </w:p>
        </w:tc>
        <w:tc>
          <w:tcPr>
            <w:tcW w:w="560" w:type="dxa"/>
            <w:vAlign w:val="bottom"/>
          </w:tcPr>
          <w:p>
            <w:pPr>
              <w:ind w:left="240"/>
              <w:spacing w:after="0"/>
              <w:rPr>
                <w:sz w:val="20"/>
                <w:szCs w:val="20"/>
                <w:color w:val="auto"/>
              </w:rPr>
            </w:pPr>
            <w:r>
              <w:rPr>
                <w:rFonts w:ascii="Arial" w:cs="Arial" w:eastAsia="Arial" w:hAnsi="Arial"/>
                <w:sz w:val="14"/>
                <w:szCs w:val="14"/>
                <w:b w:val="1"/>
                <w:bCs w:val="1"/>
                <w:color w:val="009A4B"/>
              </w:rPr>
              <w:t>E</w:t>
            </w:r>
          </w:p>
        </w:tc>
        <w:tc>
          <w:tcPr>
            <w:tcW w:w="720" w:type="dxa"/>
            <w:vAlign w:val="bottom"/>
          </w:tcPr>
          <w:p>
            <w:pPr>
              <w:ind w:left="220"/>
              <w:spacing w:after="0"/>
              <w:rPr>
                <w:sz w:val="20"/>
                <w:szCs w:val="20"/>
                <w:color w:val="auto"/>
              </w:rPr>
            </w:pPr>
            <w:r>
              <w:rPr>
                <w:rFonts w:ascii="Arial" w:cs="Arial" w:eastAsia="Arial" w:hAnsi="Arial"/>
                <w:sz w:val="14"/>
                <w:szCs w:val="14"/>
                <w:b w:val="1"/>
                <w:bCs w:val="1"/>
                <w:color w:val="009A4B"/>
              </w:rPr>
              <w:t>MDC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-168275</wp:posOffset>
            </wp:positionV>
            <wp:extent cx="7134225" cy="343217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4225" cy="3432175"/>
                    </a:xfrm>
                    <a:prstGeom prst="rect">
                      <a:avLst/>
                    </a:prstGeom>
                    <a:noFill/>
                  </pic:spPr>
                </pic:pic>
              </a:graphicData>
            </a:graphic>
          </wp:anchor>
        </w:drawing>
      </w:r>
    </w:p>
    <w:p>
      <w:pPr>
        <w:spacing w:after="0" w:line="168" w:lineRule="exact"/>
        <w:rPr>
          <w:sz w:val="20"/>
          <w:szCs w:val="20"/>
          <w:color w:val="auto"/>
        </w:rPr>
      </w:pPr>
    </w:p>
    <w:tbl>
      <w:tblPr>
        <w:tblLayout w:type="fixed"/>
        <w:tblInd w:w="820" w:type="dxa"/>
        <w:tblCellMar>
          <w:top w:w="0" w:type="dxa"/>
          <w:left w:w="0" w:type="dxa"/>
          <w:bottom w:w="0" w:type="dxa"/>
          <w:right w:w="0" w:type="dxa"/>
        </w:tblCellMar>
      </w:tblPr>
      <w:tr>
        <w:trPr>
          <w:trHeight w:val="189"/>
        </w:trPr>
        <w:tc>
          <w:tcPr>
            <w:tcW w:w="5120" w:type="dxa"/>
            <w:vAlign w:val="bottom"/>
          </w:tcPr>
          <w:p>
            <w:pPr>
              <w:spacing w:after="0"/>
              <w:rPr>
                <w:sz w:val="20"/>
                <w:szCs w:val="20"/>
                <w:color w:val="auto"/>
              </w:rPr>
            </w:pPr>
            <w:r>
              <w:rPr>
                <w:rFonts w:ascii="Arial" w:cs="Arial" w:eastAsia="Arial" w:hAnsi="Arial"/>
                <w:sz w:val="16"/>
                <w:szCs w:val="16"/>
                <w:color w:val="009A4B"/>
              </w:rPr>
              <w:t xml:space="preserve">Charles I. Cogut </w:t>
            </w:r>
            <w:r>
              <w:rPr>
                <w:rFonts w:ascii="Arial" w:cs="Arial" w:eastAsia="Arial" w:hAnsi="Arial"/>
                <w:sz w:val="14"/>
                <w:szCs w:val="14"/>
                <w:color w:val="009A4B"/>
              </w:rPr>
              <w:t>-</w:t>
            </w:r>
            <w:r>
              <w:rPr>
                <w:rFonts w:ascii="Arial" w:cs="Arial" w:eastAsia="Arial" w:hAnsi="Arial"/>
                <w:sz w:val="16"/>
                <w:szCs w:val="16"/>
                <w:color w:val="009A4B"/>
              </w:rPr>
              <w:t xml:space="preserve"> </w:t>
            </w:r>
            <w:r>
              <w:rPr>
                <w:rFonts w:ascii="Arial" w:cs="Arial" w:eastAsia="Arial" w:hAnsi="Arial"/>
                <w:sz w:val="14"/>
                <w:szCs w:val="14"/>
                <w:color w:val="00A4E4"/>
              </w:rPr>
              <w:t>Independent</w:t>
            </w:r>
          </w:p>
        </w:tc>
        <w:tc>
          <w:tcPr>
            <w:tcW w:w="212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77"/>
        </w:trPr>
        <w:tc>
          <w:tcPr>
            <w:tcW w:w="5120" w:type="dxa"/>
            <w:vAlign w:val="bottom"/>
            <w:vMerge w:val="restart"/>
          </w:tcPr>
          <w:p>
            <w:pPr>
              <w:spacing w:after="0"/>
              <w:rPr>
                <w:sz w:val="20"/>
                <w:szCs w:val="20"/>
                <w:color w:val="auto"/>
              </w:rPr>
            </w:pPr>
            <w:r>
              <w:rPr>
                <w:rFonts w:ascii="Arial" w:cs="Arial" w:eastAsia="Arial" w:hAnsi="Arial"/>
                <w:sz w:val="14"/>
                <w:szCs w:val="14"/>
                <w:color w:val="auto"/>
              </w:rPr>
              <w:t>Retired Partner, Simpson, Thacher &amp; Bartlett LLP</w:t>
            </w:r>
          </w:p>
        </w:tc>
        <w:tc>
          <w:tcPr>
            <w:tcW w:w="2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5120" w:type="dxa"/>
            <w:vAlign w:val="bottom"/>
            <w:vMerge w:val="continue"/>
          </w:tcPr>
          <w:p>
            <w:pPr>
              <w:spacing w:after="0"/>
              <w:rPr>
                <w:sz w:val="8"/>
                <w:szCs w:val="8"/>
                <w:color w:val="auto"/>
              </w:rPr>
            </w:pPr>
          </w:p>
        </w:tc>
        <w:tc>
          <w:tcPr>
            <w:tcW w:w="2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type w:val="continuous"/>
        </w:sectPr>
      </w:pPr>
    </w:p>
    <w:p>
      <w:pPr>
        <w:spacing w:after="0" w:line="93" w:lineRule="exact"/>
        <w:rPr>
          <w:sz w:val="20"/>
          <w:szCs w:val="20"/>
          <w:color w:val="auto"/>
        </w:rPr>
      </w:pPr>
    </w:p>
    <w:p>
      <w:pPr>
        <w:ind w:left="820"/>
        <w:spacing w:after="0"/>
        <w:rPr>
          <w:sz w:val="20"/>
          <w:szCs w:val="20"/>
          <w:color w:val="auto"/>
        </w:rPr>
      </w:pPr>
      <w:r>
        <w:rPr>
          <w:rFonts w:ascii="Arial" w:cs="Arial" w:eastAsia="Arial" w:hAnsi="Arial"/>
          <w:sz w:val="16"/>
          <w:szCs w:val="16"/>
          <w:color w:val="009A4B"/>
        </w:rPr>
        <w:t xml:space="preserve">Lisa A. Davis </w:t>
      </w:r>
      <w:r>
        <w:rPr>
          <w:rFonts w:ascii="Arial" w:cs="Arial" w:eastAsia="Arial" w:hAnsi="Arial"/>
          <w:sz w:val="14"/>
          <w:szCs w:val="14"/>
          <w:color w:val="009A4B"/>
        </w:rPr>
        <w:t>-</w:t>
      </w:r>
      <w:r>
        <w:rPr>
          <w:rFonts w:ascii="Arial" w:cs="Arial" w:eastAsia="Arial" w:hAnsi="Arial"/>
          <w:sz w:val="16"/>
          <w:szCs w:val="16"/>
          <w:color w:val="009A4B"/>
        </w:rPr>
        <w:t xml:space="preserve"> </w:t>
      </w:r>
      <w:r>
        <w:rPr>
          <w:rFonts w:ascii="Arial" w:cs="Arial" w:eastAsia="Arial" w:hAnsi="Arial"/>
          <w:sz w:val="14"/>
          <w:szCs w:val="14"/>
          <w:color w:val="00A4E4"/>
        </w:rPr>
        <w:t>Independent</w:t>
      </w:r>
    </w:p>
    <w:p>
      <w:pPr>
        <w:spacing w:after="0" w:line="5" w:lineRule="exact"/>
        <w:rPr>
          <w:sz w:val="20"/>
          <w:szCs w:val="20"/>
          <w:color w:val="auto"/>
        </w:rPr>
      </w:pPr>
    </w:p>
    <w:p>
      <w:pPr>
        <w:ind w:left="820" w:right="980"/>
        <w:spacing w:after="0" w:line="252" w:lineRule="auto"/>
        <w:rPr>
          <w:sz w:val="20"/>
          <w:szCs w:val="20"/>
          <w:color w:val="auto"/>
        </w:rPr>
      </w:pPr>
      <w:r>
        <w:rPr>
          <w:rFonts w:ascii="Arial" w:cs="Arial" w:eastAsia="Arial" w:hAnsi="Arial"/>
          <w:sz w:val="14"/>
          <w:szCs w:val="14"/>
          <w:color w:val="auto"/>
        </w:rPr>
        <w:t>Former Member of the Managing Board for Siemens AG and Former Chair and CEO of Siemens Corporation USA</w:t>
      </w:r>
    </w:p>
    <w:p>
      <w:pPr>
        <w:spacing w:after="0" w:line="271" w:lineRule="exact"/>
        <w:rPr>
          <w:sz w:val="20"/>
          <w:szCs w:val="20"/>
          <w:color w:val="auto"/>
        </w:rPr>
      </w:pPr>
    </w:p>
    <w:p>
      <w:pPr>
        <w:ind w:left="820"/>
        <w:spacing w:after="0"/>
        <w:rPr>
          <w:sz w:val="20"/>
          <w:szCs w:val="20"/>
          <w:color w:val="auto"/>
        </w:rPr>
      </w:pPr>
      <w:r>
        <w:rPr>
          <w:rFonts w:ascii="Arial" w:cs="Arial" w:eastAsia="Arial" w:hAnsi="Arial"/>
          <w:sz w:val="16"/>
          <w:szCs w:val="16"/>
          <w:color w:val="009A4B"/>
        </w:rPr>
        <w:t>Seifollah Ghasemi</w:t>
      </w:r>
    </w:p>
    <w:p>
      <w:pPr>
        <w:spacing w:after="0" w:line="19" w:lineRule="exact"/>
        <w:rPr>
          <w:sz w:val="20"/>
          <w:szCs w:val="20"/>
          <w:color w:val="auto"/>
        </w:rPr>
      </w:pPr>
    </w:p>
    <w:p>
      <w:pPr>
        <w:ind w:left="820"/>
        <w:spacing w:after="0"/>
        <w:rPr>
          <w:sz w:val="20"/>
          <w:szCs w:val="20"/>
          <w:color w:val="auto"/>
        </w:rPr>
      </w:pPr>
      <w:r>
        <w:rPr>
          <w:rFonts w:ascii="Arial" w:cs="Arial" w:eastAsia="Arial" w:hAnsi="Arial"/>
          <w:sz w:val="14"/>
          <w:szCs w:val="14"/>
          <w:color w:val="auto"/>
        </w:rPr>
        <w:t>Chairman, President and Chief Executive Officer of Air Products and Chemicals, Inc.</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8</w:t>
      </w:r>
    </w:p>
    <w:p>
      <w:pPr>
        <w:spacing w:after="0" w:line="250" w:lineRule="exact"/>
        <w:rPr>
          <w:sz w:val="20"/>
          <w:szCs w:val="20"/>
          <w:color w:val="auto"/>
        </w:rPr>
      </w:pPr>
    </w:p>
    <w:p>
      <w:pPr>
        <w:sectPr>
          <w:pgSz w:w="11900" w:h="16838" w:orient="portrait"/>
          <w:cols w:equalWidth="0" w:num="2">
            <w:col w:w="7260" w:space="720"/>
            <w:col w:w="3260"/>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394"/>
        </w:trPr>
        <w:tc>
          <w:tcPr>
            <w:tcW w:w="440" w:type="dxa"/>
            <w:vAlign w:val="bottom"/>
            <w:tcBorders>
              <w:top w:val="single" w:sz="8" w:color="939598"/>
            </w:tcBorders>
          </w:tcPr>
          <w:p>
            <w:pPr>
              <w:spacing w:after="0"/>
              <w:rPr>
                <w:sz w:val="24"/>
                <w:szCs w:val="24"/>
                <w:color w:val="auto"/>
              </w:rPr>
            </w:pPr>
          </w:p>
        </w:tc>
        <w:tc>
          <w:tcPr>
            <w:tcW w:w="2500" w:type="dxa"/>
            <w:vAlign w:val="bottom"/>
            <w:tcBorders>
              <w:top w:val="single" w:sz="8" w:color="939598"/>
            </w:tcBorders>
          </w:tcPr>
          <w:p>
            <w:pPr>
              <w:ind w:left="380"/>
              <w:spacing w:after="0"/>
              <w:rPr>
                <w:sz w:val="20"/>
                <w:szCs w:val="20"/>
                <w:color w:val="auto"/>
              </w:rPr>
            </w:pPr>
            <w:r>
              <w:rPr>
                <w:rFonts w:ascii="Arial" w:cs="Arial" w:eastAsia="Arial" w:hAnsi="Arial"/>
                <w:sz w:val="16"/>
                <w:szCs w:val="16"/>
                <w:color w:val="009A4B"/>
              </w:rPr>
              <w:t xml:space="preserve">David H.Y. Ho </w:t>
            </w:r>
            <w:r>
              <w:rPr>
                <w:rFonts w:ascii="Arial" w:cs="Arial" w:eastAsia="Arial" w:hAnsi="Arial"/>
                <w:sz w:val="14"/>
                <w:szCs w:val="14"/>
                <w:color w:val="009A4B"/>
              </w:rPr>
              <w:t>-</w:t>
            </w:r>
            <w:r>
              <w:rPr>
                <w:rFonts w:ascii="Arial" w:cs="Arial" w:eastAsia="Arial" w:hAnsi="Arial"/>
                <w:sz w:val="16"/>
                <w:szCs w:val="16"/>
                <w:color w:val="009A4B"/>
              </w:rPr>
              <w:t xml:space="preserve"> </w:t>
            </w:r>
            <w:r>
              <w:rPr>
                <w:rFonts w:ascii="Arial" w:cs="Arial" w:eastAsia="Arial" w:hAnsi="Arial"/>
                <w:sz w:val="14"/>
                <w:szCs w:val="14"/>
                <w:color w:val="00A4E4"/>
              </w:rPr>
              <w:t>Independent</w:t>
            </w:r>
          </w:p>
        </w:tc>
        <w:tc>
          <w:tcPr>
            <w:tcW w:w="500" w:type="dxa"/>
            <w:vAlign w:val="bottom"/>
            <w:tcBorders>
              <w:top w:val="single" w:sz="8" w:color="939598"/>
            </w:tcBorders>
          </w:tcPr>
          <w:p>
            <w:pPr>
              <w:spacing w:after="0"/>
              <w:rPr>
                <w:sz w:val="24"/>
                <w:szCs w:val="24"/>
                <w:color w:val="auto"/>
              </w:rPr>
            </w:pPr>
          </w:p>
        </w:tc>
        <w:tc>
          <w:tcPr>
            <w:tcW w:w="3820" w:type="dxa"/>
            <w:vAlign w:val="bottom"/>
            <w:tcBorders>
              <w:top w:val="single" w:sz="8" w:color="939598"/>
            </w:tcBorders>
          </w:tcPr>
          <w:p>
            <w:pPr>
              <w:spacing w:after="0"/>
              <w:rPr>
                <w:sz w:val="24"/>
                <w:szCs w:val="24"/>
                <w:color w:val="auto"/>
              </w:rPr>
            </w:pPr>
          </w:p>
        </w:tc>
        <w:tc>
          <w:tcPr>
            <w:tcW w:w="1360" w:type="dxa"/>
            <w:vAlign w:val="bottom"/>
            <w:tcBorders>
              <w:top w:val="single" w:sz="8" w:color="939598"/>
              <w:right w:val="single" w:sz="8" w:color="009A4B"/>
            </w:tcBorders>
            <w:vMerge w:val="restart"/>
          </w:tcPr>
          <w:p>
            <w:pPr>
              <w:jc w:val="right"/>
              <w:ind w:right="489"/>
              <w:spacing w:after="0"/>
              <w:rPr>
                <w:sz w:val="20"/>
                <w:szCs w:val="20"/>
                <w:color w:val="auto"/>
              </w:rPr>
            </w:pPr>
            <w:r>
              <w:rPr>
                <w:rFonts w:ascii="Arial" w:cs="Arial" w:eastAsia="Arial" w:hAnsi="Arial"/>
                <w:sz w:val="14"/>
                <w:szCs w:val="14"/>
                <w:color w:val="auto"/>
              </w:rPr>
              <w:t>8</w:t>
            </w:r>
          </w:p>
        </w:tc>
        <w:tc>
          <w:tcPr>
            <w:tcW w:w="660" w:type="dxa"/>
            <w:vAlign w:val="bottom"/>
            <w:tcBorders>
              <w:top w:val="single" w:sz="8" w:color="009A4B"/>
              <w:right w:val="single" w:sz="8" w:color="009A4B"/>
            </w:tcBorders>
          </w:tcPr>
          <w:p>
            <w:pPr>
              <w:spacing w:after="0"/>
              <w:rPr>
                <w:sz w:val="24"/>
                <w:szCs w:val="24"/>
                <w:color w:val="auto"/>
              </w:rPr>
            </w:pPr>
          </w:p>
        </w:tc>
        <w:tc>
          <w:tcPr>
            <w:tcW w:w="660" w:type="dxa"/>
            <w:vAlign w:val="bottom"/>
            <w:tcBorders>
              <w:top w:val="single" w:sz="8" w:color="009A4B"/>
              <w:right w:val="single" w:sz="8" w:color="009A4B"/>
            </w:tcBorders>
          </w:tcPr>
          <w:p>
            <w:pPr>
              <w:spacing w:after="0"/>
              <w:rPr>
                <w:sz w:val="24"/>
                <w:szCs w:val="24"/>
                <w:color w:val="auto"/>
              </w:rPr>
            </w:pPr>
          </w:p>
        </w:tc>
        <w:tc>
          <w:tcPr>
            <w:tcW w:w="640" w:type="dxa"/>
            <w:vAlign w:val="bottom"/>
            <w:tcBorders>
              <w:top w:val="single" w:sz="8" w:color="009A4B"/>
              <w:right w:val="single" w:sz="8" w:color="009A4B"/>
            </w:tcBorders>
          </w:tcPr>
          <w:p>
            <w:pPr>
              <w:spacing w:after="0"/>
              <w:rPr>
                <w:sz w:val="24"/>
                <w:szCs w:val="24"/>
                <w:color w:val="auto"/>
              </w:rPr>
            </w:pPr>
          </w:p>
        </w:tc>
        <w:tc>
          <w:tcPr>
            <w:tcW w:w="660" w:type="dxa"/>
            <w:vAlign w:val="bottom"/>
            <w:tcBorders>
              <w:top w:val="single" w:sz="8" w:color="009A4B"/>
            </w:tcBorders>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440" w:type="dxa"/>
            <w:vAlign w:val="bottom"/>
          </w:tcPr>
          <w:p>
            <w:pPr>
              <w:spacing w:after="0"/>
              <w:rPr>
                <w:sz w:val="6"/>
                <w:szCs w:val="6"/>
                <w:color w:val="auto"/>
              </w:rPr>
            </w:pPr>
          </w:p>
        </w:tc>
        <w:tc>
          <w:tcPr>
            <w:tcW w:w="6820" w:type="dxa"/>
            <w:vAlign w:val="bottom"/>
            <w:gridSpan w:val="3"/>
            <w:vMerge w:val="restart"/>
          </w:tcPr>
          <w:p>
            <w:pPr>
              <w:ind w:left="380"/>
              <w:spacing w:after="0"/>
              <w:rPr>
                <w:sz w:val="20"/>
                <w:szCs w:val="20"/>
                <w:color w:val="auto"/>
              </w:rPr>
            </w:pPr>
            <w:r>
              <w:rPr>
                <w:rFonts w:ascii="Arial" w:cs="Arial" w:eastAsia="Arial" w:hAnsi="Arial"/>
                <w:sz w:val="14"/>
                <w:szCs w:val="14"/>
                <w:color w:val="auto"/>
              </w:rPr>
              <w:t>Chairman and Founder of Kiina Investment Ltd.</w:t>
            </w:r>
          </w:p>
        </w:tc>
        <w:tc>
          <w:tcPr>
            <w:tcW w:w="1360" w:type="dxa"/>
            <w:vAlign w:val="bottom"/>
            <w:tcBorders>
              <w:right w:val="single" w:sz="8" w:color="009A4B"/>
            </w:tcBorders>
            <w:vMerge w:val="continue"/>
          </w:tcPr>
          <w:p>
            <w:pPr>
              <w:spacing w:after="0"/>
              <w:rPr>
                <w:sz w:val="6"/>
                <w:szCs w:val="6"/>
                <w:color w:val="auto"/>
              </w:rPr>
            </w:pPr>
          </w:p>
        </w:tc>
        <w:tc>
          <w:tcPr>
            <w:tcW w:w="660" w:type="dxa"/>
            <w:vAlign w:val="bottom"/>
            <w:tcBorders>
              <w:right w:val="single" w:sz="8" w:color="009A4B"/>
            </w:tcBorders>
          </w:tcPr>
          <w:p>
            <w:pPr>
              <w:spacing w:after="0"/>
              <w:rPr>
                <w:sz w:val="6"/>
                <w:szCs w:val="6"/>
                <w:color w:val="auto"/>
              </w:rPr>
            </w:pPr>
          </w:p>
        </w:tc>
        <w:tc>
          <w:tcPr>
            <w:tcW w:w="660" w:type="dxa"/>
            <w:vAlign w:val="bottom"/>
            <w:tcBorders>
              <w:right w:val="single" w:sz="8" w:color="009A4B"/>
            </w:tcBorders>
          </w:tcPr>
          <w:p>
            <w:pPr>
              <w:spacing w:after="0"/>
              <w:rPr>
                <w:sz w:val="6"/>
                <w:szCs w:val="6"/>
                <w:color w:val="auto"/>
              </w:rPr>
            </w:pPr>
          </w:p>
        </w:tc>
        <w:tc>
          <w:tcPr>
            <w:tcW w:w="640" w:type="dxa"/>
            <w:vAlign w:val="bottom"/>
            <w:tcBorders>
              <w:right w:val="single" w:sz="8" w:color="009A4B"/>
            </w:tcBorders>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440" w:type="dxa"/>
            <w:vAlign w:val="bottom"/>
          </w:tcPr>
          <w:p>
            <w:pPr>
              <w:spacing w:after="0"/>
              <w:rPr>
                <w:sz w:val="8"/>
                <w:szCs w:val="8"/>
                <w:color w:val="auto"/>
              </w:rPr>
            </w:pPr>
          </w:p>
        </w:tc>
        <w:tc>
          <w:tcPr>
            <w:tcW w:w="6820" w:type="dxa"/>
            <w:vAlign w:val="bottom"/>
            <w:gridSpan w:val="3"/>
            <w:vMerge w:val="continue"/>
          </w:tcPr>
          <w:p>
            <w:pPr>
              <w:spacing w:after="0"/>
              <w:rPr>
                <w:sz w:val="8"/>
                <w:szCs w:val="8"/>
                <w:color w:val="auto"/>
              </w:rPr>
            </w:pPr>
          </w:p>
        </w:tc>
        <w:tc>
          <w:tcPr>
            <w:tcW w:w="1360" w:type="dxa"/>
            <w:vAlign w:val="bottom"/>
            <w:tcBorders>
              <w:right w:val="single" w:sz="8" w:color="009A4B"/>
            </w:tcBorders>
          </w:tcPr>
          <w:p>
            <w:pPr>
              <w:spacing w:after="0"/>
              <w:rPr>
                <w:sz w:val="8"/>
                <w:szCs w:val="8"/>
                <w:color w:val="auto"/>
              </w:rPr>
            </w:pPr>
          </w:p>
        </w:tc>
        <w:tc>
          <w:tcPr>
            <w:tcW w:w="660" w:type="dxa"/>
            <w:vAlign w:val="bottom"/>
            <w:tcBorders>
              <w:right w:val="single" w:sz="8" w:color="009A4B"/>
            </w:tcBorders>
          </w:tcPr>
          <w:p>
            <w:pPr>
              <w:spacing w:after="0"/>
              <w:rPr>
                <w:sz w:val="8"/>
                <w:szCs w:val="8"/>
                <w:color w:val="auto"/>
              </w:rPr>
            </w:pPr>
          </w:p>
        </w:tc>
        <w:tc>
          <w:tcPr>
            <w:tcW w:w="660" w:type="dxa"/>
            <w:vAlign w:val="bottom"/>
            <w:tcBorders>
              <w:right w:val="single" w:sz="8" w:color="009A4B"/>
            </w:tcBorders>
          </w:tcPr>
          <w:p>
            <w:pPr>
              <w:spacing w:after="0"/>
              <w:rPr>
                <w:sz w:val="8"/>
                <w:szCs w:val="8"/>
                <w:color w:val="auto"/>
              </w:rPr>
            </w:pPr>
          </w:p>
        </w:tc>
        <w:tc>
          <w:tcPr>
            <w:tcW w:w="640" w:type="dxa"/>
            <w:vAlign w:val="bottom"/>
            <w:tcBorders>
              <w:right w:val="single" w:sz="8" w:color="009A4B"/>
            </w:tcBorders>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440" w:type="dxa"/>
            <w:vAlign w:val="bottom"/>
            <w:tcBorders>
              <w:bottom w:val="single" w:sz="8" w:color="939598"/>
            </w:tcBorders>
          </w:tcPr>
          <w:p>
            <w:pPr>
              <w:spacing w:after="0"/>
              <w:rPr>
                <w:sz w:val="16"/>
                <w:szCs w:val="16"/>
                <w:color w:val="auto"/>
              </w:rPr>
            </w:pPr>
          </w:p>
        </w:tc>
        <w:tc>
          <w:tcPr>
            <w:tcW w:w="3000" w:type="dxa"/>
            <w:vAlign w:val="bottom"/>
            <w:tcBorders>
              <w:bottom w:val="single" w:sz="8" w:color="939598"/>
            </w:tcBorders>
            <w:gridSpan w:val="2"/>
          </w:tcPr>
          <w:p>
            <w:pPr>
              <w:spacing w:after="0"/>
              <w:rPr>
                <w:sz w:val="16"/>
                <w:szCs w:val="16"/>
                <w:color w:val="auto"/>
              </w:rPr>
            </w:pPr>
          </w:p>
        </w:tc>
        <w:tc>
          <w:tcPr>
            <w:tcW w:w="3820" w:type="dxa"/>
            <w:vAlign w:val="bottom"/>
            <w:tcBorders>
              <w:bottom w:val="single" w:sz="8" w:color="939598"/>
            </w:tcBorders>
          </w:tcPr>
          <w:p>
            <w:pPr>
              <w:spacing w:after="0"/>
              <w:rPr>
                <w:sz w:val="16"/>
                <w:szCs w:val="16"/>
                <w:color w:val="auto"/>
              </w:rPr>
            </w:pPr>
          </w:p>
        </w:tc>
        <w:tc>
          <w:tcPr>
            <w:tcW w:w="1360" w:type="dxa"/>
            <w:vAlign w:val="bottom"/>
            <w:tcBorders>
              <w:bottom w:val="single" w:sz="8" w:color="939598"/>
              <w:right w:val="single" w:sz="8" w:color="009A4B"/>
            </w:tcBorders>
          </w:tcPr>
          <w:p>
            <w:pPr>
              <w:spacing w:after="0"/>
              <w:rPr>
                <w:sz w:val="16"/>
                <w:szCs w:val="16"/>
                <w:color w:val="auto"/>
              </w:rPr>
            </w:pPr>
          </w:p>
        </w:tc>
        <w:tc>
          <w:tcPr>
            <w:tcW w:w="660" w:type="dxa"/>
            <w:vAlign w:val="bottom"/>
            <w:tcBorders>
              <w:bottom w:val="single" w:sz="8" w:color="009A4B"/>
              <w:right w:val="single" w:sz="8" w:color="009A4B"/>
            </w:tcBorders>
          </w:tcPr>
          <w:p>
            <w:pPr>
              <w:spacing w:after="0"/>
              <w:rPr>
                <w:sz w:val="16"/>
                <w:szCs w:val="16"/>
                <w:color w:val="auto"/>
              </w:rPr>
            </w:pPr>
          </w:p>
        </w:tc>
        <w:tc>
          <w:tcPr>
            <w:tcW w:w="660" w:type="dxa"/>
            <w:vAlign w:val="bottom"/>
            <w:tcBorders>
              <w:bottom w:val="single" w:sz="8" w:color="009A4B"/>
              <w:right w:val="single" w:sz="8" w:color="009A4B"/>
            </w:tcBorders>
          </w:tcPr>
          <w:p>
            <w:pPr>
              <w:spacing w:after="0"/>
              <w:rPr>
                <w:sz w:val="16"/>
                <w:szCs w:val="16"/>
                <w:color w:val="auto"/>
              </w:rPr>
            </w:pPr>
          </w:p>
        </w:tc>
        <w:tc>
          <w:tcPr>
            <w:tcW w:w="640" w:type="dxa"/>
            <w:vAlign w:val="bottom"/>
            <w:tcBorders>
              <w:bottom w:val="single" w:sz="8" w:color="009A4B"/>
              <w:right w:val="single" w:sz="8" w:color="009A4B"/>
            </w:tcBorders>
          </w:tcPr>
          <w:p>
            <w:pPr>
              <w:spacing w:after="0"/>
              <w:rPr>
                <w:sz w:val="16"/>
                <w:szCs w:val="16"/>
                <w:color w:val="auto"/>
              </w:rPr>
            </w:pPr>
          </w:p>
        </w:tc>
        <w:tc>
          <w:tcPr>
            <w:tcW w:w="660" w:type="dxa"/>
            <w:vAlign w:val="bottom"/>
            <w:tcBorders>
              <w:bottom w:val="single" w:sz="8" w:color="009A4B"/>
            </w:tcBorders>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440" w:type="dxa"/>
            <w:vAlign w:val="bottom"/>
          </w:tcPr>
          <w:p>
            <w:pPr>
              <w:spacing w:after="0"/>
              <w:rPr>
                <w:sz w:val="24"/>
                <w:szCs w:val="24"/>
                <w:color w:val="auto"/>
              </w:rPr>
            </w:pPr>
          </w:p>
        </w:tc>
        <w:tc>
          <w:tcPr>
            <w:tcW w:w="3000" w:type="dxa"/>
            <w:vAlign w:val="bottom"/>
            <w:gridSpan w:val="2"/>
          </w:tcPr>
          <w:p>
            <w:pPr>
              <w:ind w:left="380"/>
              <w:spacing w:after="0"/>
              <w:rPr>
                <w:sz w:val="20"/>
                <w:szCs w:val="20"/>
                <w:color w:val="auto"/>
              </w:rPr>
            </w:pPr>
            <w:r>
              <w:rPr>
                <w:rFonts w:ascii="Arial" w:cs="Arial" w:eastAsia="Arial" w:hAnsi="Arial"/>
                <w:sz w:val="16"/>
                <w:szCs w:val="16"/>
                <w:color w:val="009A4B"/>
              </w:rPr>
              <w:t xml:space="preserve">Edward L. Monser </w:t>
            </w:r>
            <w:r>
              <w:rPr>
                <w:rFonts w:ascii="Arial" w:cs="Arial" w:eastAsia="Arial" w:hAnsi="Arial"/>
                <w:sz w:val="14"/>
                <w:szCs w:val="14"/>
                <w:color w:val="009A4B"/>
              </w:rPr>
              <w:t>-</w:t>
            </w:r>
            <w:r>
              <w:rPr>
                <w:rFonts w:ascii="Arial" w:cs="Arial" w:eastAsia="Arial" w:hAnsi="Arial"/>
                <w:sz w:val="16"/>
                <w:szCs w:val="16"/>
                <w:color w:val="009A4B"/>
              </w:rPr>
              <w:t xml:space="preserve"> </w:t>
            </w:r>
            <w:r>
              <w:rPr>
                <w:rFonts w:ascii="Arial" w:cs="Arial" w:eastAsia="Arial" w:hAnsi="Arial"/>
                <w:sz w:val="14"/>
                <w:szCs w:val="14"/>
                <w:color w:val="00A4E4"/>
              </w:rPr>
              <w:t>Independent</w:t>
            </w:r>
          </w:p>
        </w:tc>
        <w:tc>
          <w:tcPr>
            <w:tcW w:w="3820" w:type="dxa"/>
            <w:vAlign w:val="bottom"/>
          </w:tcPr>
          <w:p>
            <w:pPr>
              <w:spacing w:after="0"/>
              <w:rPr>
                <w:sz w:val="24"/>
                <w:szCs w:val="24"/>
                <w:color w:val="auto"/>
              </w:rPr>
            </w:pPr>
          </w:p>
        </w:tc>
        <w:tc>
          <w:tcPr>
            <w:tcW w:w="1360" w:type="dxa"/>
            <w:vAlign w:val="bottom"/>
            <w:tcBorders>
              <w:right w:val="single" w:sz="8" w:color="009A4B"/>
            </w:tcBorders>
            <w:vMerge w:val="restart"/>
          </w:tcPr>
          <w:p>
            <w:pPr>
              <w:jc w:val="right"/>
              <w:ind w:right="489"/>
              <w:spacing w:after="0"/>
              <w:rPr>
                <w:sz w:val="20"/>
                <w:szCs w:val="20"/>
                <w:color w:val="auto"/>
              </w:rPr>
            </w:pPr>
            <w:r>
              <w:rPr>
                <w:rFonts w:ascii="Arial" w:cs="Arial" w:eastAsia="Arial" w:hAnsi="Arial"/>
                <w:sz w:val="14"/>
                <w:szCs w:val="14"/>
                <w:color w:val="auto"/>
              </w:rPr>
              <w:t>8</w:t>
            </w:r>
          </w:p>
        </w:tc>
        <w:tc>
          <w:tcPr>
            <w:tcW w:w="660" w:type="dxa"/>
            <w:vAlign w:val="bottom"/>
            <w:tcBorders>
              <w:right w:val="single" w:sz="8" w:color="009A4B"/>
            </w:tcBorders>
          </w:tcPr>
          <w:p>
            <w:pPr>
              <w:spacing w:after="0"/>
              <w:rPr>
                <w:sz w:val="24"/>
                <w:szCs w:val="24"/>
                <w:color w:val="auto"/>
              </w:rPr>
            </w:pPr>
          </w:p>
        </w:tc>
        <w:tc>
          <w:tcPr>
            <w:tcW w:w="660" w:type="dxa"/>
            <w:vAlign w:val="bottom"/>
            <w:tcBorders>
              <w:right w:val="single" w:sz="8" w:color="009A4B"/>
            </w:tcBorders>
            <w:vMerge w:val="restart"/>
          </w:tcPr>
          <w:p>
            <w:pPr>
              <w:jc w:val="right"/>
              <w:ind w:right="173"/>
              <w:spacing w:after="0"/>
              <w:rPr>
                <w:sz w:val="20"/>
                <w:szCs w:val="20"/>
                <w:color w:val="auto"/>
              </w:rPr>
            </w:pPr>
            <w:r>
              <w:rPr>
                <w:rFonts w:ascii="Arial" w:cs="Arial" w:eastAsia="Arial" w:hAnsi="Arial"/>
                <w:sz w:val="12"/>
                <w:szCs w:val="12"/>
                <w:color w:val="auto"/>
              </w:rPr>
              <w:t>1</w:t>
            </w:r>
          </w:p>
        </w:tc>
        <w:tc>
          <w:tcPr>
            <w:tcW w:w="640" w:type="dxa"/>
            <w:vAlign w:val="bottom"/>
            <w:tcBorders>
              <w:right w:val="single" w:sz="8" w:color="009A4B"/>
            </w:tcBorders>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440" w:type="dxa"/>
            <w:vAlign w:val="bottom"/>
          </w:tcPr>
          <w:p>
            <w:pPr>
              <w:spacing w:after="0"/>
              <w:rPr>
                <w:sz w:val="6"/>
                <w:szCs w:val="6"/>
                <w:color w:val="auto"/>
              </w:rPr>
            </w:pPr>
          </w:p>
        </w:tc>
        <w:tc>
          <w:tcPr>
            <w:tcW w:w="6820" w:type="dxa"/>
            <w:vAlign w:val="bottom"/>
            <w:gridSpan w:val="3"/>
            <w:vMerge w:val="restart"/>
          </w:tcPr>
          <w:p>
            <w:pPr>
              <w:ind w:left="380"/>
              <w:spacing w:after="0"/>
              <w:rPr>
                <w:sz w:val="20"/>
                <w:szCs w:val="20"/>
                <w:color w:val="auto"/>
              </w:rPr>
            </w:pPr>
            <w:r>
              <w:rPr>
                <w:rFonts w:ascii="Arial" w:cs="Arial" w:eastAsia="Arial" w:hAnsi="Arial"/>
                <w:sz w:val="14"/>
                <w:szCs w:val="14"/>
                <w:color w:val="auto"/>
              </w:rPr>
              <w:t>Retired President and Chief Operating Officer, Emerson Electric Co.</w:t>
            </w:r>
          </w:p>
        </w:tc>
        <w:tc>
          <w:tcPr>
            <w:tcW w:w="1360" w:type="dxa"/>
            <w:vAlign w:val="bottom"/>
            <w:tcBorders>
              <w:right w:val="single" w:sz="8" w:color="009A4B"/>
            </w:tcBorders>
            <w:vMerge w:val="continue"/>
          </w:tcPr>
          <w:p>
            <w:pPr>
              <w:spacing w:after="0"/>
              <w:rPr>
                <w:sz w:val="6"/>
                <w:szCs w:val="6"/>
                <w:color w:val="auto"/>
              </w:rPr>
            </w:pPr>
          </w:p>
        </w:tc>
        <w:tc>
          <w:tcPr>
            <w:tcW w:w="660" w:type="dxa"/>
            <w:vAlign w:val="bottom"/>
            <w:tcBorders>
              <w:right w:val="single" w:sz="8" w:color="009A4B"/>
            </w:tcBorders>
          </w:tcPr>
          <w:p>
            <w:pPr>
              <w:spacing w:after="0"/>
              <w:rPr>
                <w:sz w:val="6"/>
                <w:szCs w:val="6"/>
                <w:color w:val="auto"/>
              </w:rPr>
            </w:pPr>
          </w:p>
        </w:tc>
        <w:tc>
          <w:tcPr>
            <w:tcW w:w="660" w:type="dxa"/>
            <w:vAlign w:val="bottom"/>
            <w:tcBorders>
              <w:right w:val="single" w:sz="8" w:color="009A4B"/>
            </w:tcBorders>
            <w:vMerge w:val="continue"/>
          </w:tcPr>
          <w:p>
            <w:pPr>
              <w:spacing w:after="0"/>
              <w:rPr>
                <w:sz w:val="6"/>
                <w:szCs w:val="6"/>
                <w:color w:val="auto"/>
              </w:rPr>
            </w:pPr>
          </w:p>
        </w:tc>
        <w:tc>
          <w:tcPr>
            <w:tcW w:w="640" w:type="dxa"/>
            <w:vAlign w:val="bottom"/>
            <w:tcBorders>
              <w:right w:val="single" w:sz="8" w:color="009A4B"/>
            </w:tcBorders>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440" w:type="dxa"/>
            <w:vAlign w:val="bottom"/>
          </w:tcPr>
          <w:p>
            <w:pPr>
              <w:spacing w:after="0"/>
              <w:rPr>
                <w:sz w:val="8"/>
                <w:szCs w:val="8"/>
                <w:color w:val="auto"/>
              </w:rPr>
            </w:pPr>
          </w:p>
        </w:tc>
        <w:tc>
          <w:tcPr>
            <w:tcW w:w="6820" w:type="dxa"/>
            <w:vAlign w:val="bottom"/>
            <w:gridSpan w:val="3"/>
            <w:vMerge w:val="continue"/>
          </w:tcPr>
          <w:p>
            <w:pPr>
              <w:spacing w:after="0"/>
              <w:rPr>
                <w:sz w:val="8"/>
                <w:szCs w:val="8"/>
                <w:color w:val="auto"/>
              </w:rPr>
            </w:pPr>
          </w:p>
        </w:tc>
        <w:tc>
          <w:tcPr>
            <w:tcW w:w="1360" w:type="dxa"/>
            <w:vAlign w:val="bottom"/>
            <w:tcBorders>
              <w:right w:val="single" w:sz="8" w:color="009A4B"/>
            </w:tcBorders>
          </w:tcPr>
          <w:p>
            <w:pPr>
              <w:spacing w:after="0"/>
              <w:rPr>
                <w:sz w:val="8"/>
                <w:szCs w:val="8"/>
                <w:color w:val="auto"/>
              </w:rPr>
            </w:pPr>
          </w:p>
        </w:tc>
        <w:tc>
          <w:tcPr>
            <w:tcW w:w="660" w:type="dxa"/>
            <w:vAlign w:val="bottom"/>
            <w:tcBorders>
              <w:right w:val="single" w:sz="8" w:color="009A4B"/>
            </w:tcBorders>
          </w:tcPr>
          <w:p>
            <w:pPr>
              <w:spacing w:after="0"/>
              <w:rPr>
                <w:sz w:val="8"/>
                <w:szCs w:val="8"/>
                <w:color w:val="auto"/>
              </w:rPr>
            </w:pPr>
          </w:p>
        </w:tc>
        <w:tc>
          <w:tcPr>
            <w:tcW w:w="660" w:type="dxa"/>
            <w:vAlign w:val="bottom"/>
            <w:tcBorders>
              <w:right w:val="single" w:sz="8" w:color="009A4B"/>
            </w:tcBorders>
          </w:tcPr>
          <w:p>
            <w:pPr>
              <w:spacing w:after="0"/>
              <w:rPr>
                <w:sz w:val="8"/>
                <w:szCs w:val="8"/>
                <w:color w:val="auto"/>
              </w:rPr>
            </w:pPr>
          </w:p>
        </w:tc>
        <w:tc>
          <w:tcPr>
            <w:tcW w:w="640" w:type="dxa"/>
            <w:vAlign w:val="bottom"/>
            <w:tcBorders>
              <w:right w:val="single" w:sz="8" w:color="009A4B"/>
            </w:tcBorders>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440" w:type="dxa"/>
            <w:vAlign w:val="bottom"/>
            <w:tcBorders>
              <w:bottom w:val="single" w:sz="8" w:color="939598"/>
            </w:tcBorders>
          </w:tcPr>
          <w:p>
            <w:pPr>
              <w:spacing w:after="0"/>
              <w:rPr>
                <w:sz w:val="16"/>
                <w:szCs w:val="16"/>
                <w:color w:val="auto"/>
              </w:rPr>
            </w:pPr>
          </w:p>
        </w:tc>
        <w:tc>
          <w:tcPr>
            <w:tcW w:w="2500" w:type="dxa"/>
            <w:vAlign w:val="bottom"/>
            <w:tcBorders>
              <w:bottom w:val="single" w:sz="8" w:color="939598"/>
            </w:tcBorders>
          </w:tcPr>
          <w:p>
            <w:pPr>
              <w:spacing w:after="0"/>
              <w:rPr>
                <w:sz w:val="16"/>
                <w:szCs w:val="16"/>
                <w:color w:val="auto"/>
              </w:rPr>
            </w:pPr>
          </w:p>
        </w:tc>
        <w:tc>
          <w:tcPr>
            <w:tcW w:w="500" w:type="dxa"/>
            <w:vAlign w:val="bottom"/>
            <w:tcBorders>
              <w:bottom w:val="single" w:sz="8" w:color="939598"/>
            </w:tcBorders>
          </w:tcPr>
          <w:p>
            <w:pPr>
              <w:spacing w:after="0"/>
              <w:rPr>
                <w:sz w:val="16"/>
                <w:szCs w:val="16"/>
                <w:color w:val="auto"/>
              </w:rPr>
            </w:pPr>
          </w:p>
        </w:tc>
        <w:tc>
          <w:tcPr>
            <w:tcW w:w="3820" w:type="dxa"/>
            <w:vAlign w:val="bottom"/>
            <w:tcBorders>
              <w:bottom w:val="single" w:sz="8" w:color="939598"/>
            </w:tcBorders>
          </w:tcPr>
          <w:p>
            <w:pPr>
              <w:spacing w:after="0"/>
              <w:rPr>
                <w:sz w:val="16"/>
                <w:szCs w:val="16"/>
                <w:color w:val="auto"/>
              </w:rPr>
            </w:pPr>
          </w:p>
        </w:tc>
        <w:tc>
          <w:tcPr>
            <w:tcW w:w="1360" w:type="dxa"/>
            <w:vAlign w:val="bottom"/>
            <w:tcBorders>
              <w:bottom w:val="single" w:sz="8" w:color="939598"/>
              <w:right w:val="single" w:sz="8" w:color="009A4B"/>
            </w:tcBorders>
          </w:tcPr>
          <w:p>
            <w:pPr>
              <w:spacing w:after="0"/>
              <w:rPr>
                <w:sz w:val="16"/>
                <w:szCs w:val="16"/>
                <w:color w:val="auto"/>
              </w:rPr>
            </w:pPr>
          </w:p>
        </w:tc>
        <w:tc>
          <w:tcPr>
            <w:tcW w:w="660" w:type="dxa"/>
            <w:vAlign w:val="bottom"/>
            <w:tcBorders>
              <w:bottom w:val="single" w:sz="8" w:color="009A4B"/>
              <w:right w:val="single" w:sz="8" w:color="009A4B"/>
            </w:tcBorders>
          </w:tcPr>
          <w:p>
            <w:pPr>
              <w:spacing w:after="0"/>
              <w:rPr>
                <w:sz w:val="16"/>
                <w:szCs w:val="16"/>
                <w:color w:val="auto"/>
              </w:rPr>
            </w:pPr>
          </w:p>
        </w:tc>
        <w:tc>
          <w:tcPr>
            <w:tcW w:w="660" w:type="dxa"/>
            <w:vAlign w:val="bottom"/>
            <w:tcBorders>
              <w:bottom w:val="single" w:sz="8" w:color="009A4B"/>
              <w:right w:val="single" w:sz="8" w:color="009A4B"/>
            </w:tcBorders>
          </w:tcPr>
          <w:p>
            <w:pPr>
              <w:spacing w:after="0"/>
              <w:rPr>
                <w:sz w:val="16"/>
                <w:szCs w:val="16"/>
                <w:color w:val="auto"/>
              </w:rPr>
            </w:pPr>
          </w:p>
        </w:tc>
        <w:tc>
          <w:tcPr>
            <w:tcW w:w="640" w:type="dxa"/>
            <w:vAlign w:val="bottom"/>
            <w:tcBorders>
              <w:bottom w:val="single" w:sz="8" w:color="009A4B"/>
              <w:right w:val="single" w:sz="8" w:color="009A4B"/>
            </w:tcBorders>
          </w:tcPr>
          <w:p>
            <w:pPr>
              <w:spacing w:after="0"/>
              <w:rPr>
                <w:sz w:val="16"/>
                <w:szCs w:val="16"/>
                <w:color w:val="auto"/>
              </w:rPr>
            </w:pPr>
          </w:p>
        </w:tc>
        <w:tc>
          <w:tcPr>
            <w:tcW w:w="660" w:type="dxa"/>
            <w:vAlign w:val="bottom"/>
            <w:tcBorders>
              <w:bottom w:val="single" w:sz="8" w:color="009A4B"/>
            </w:tcBorders>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40" w:type="dxa"/>
            <w:vAlign w:val="bottom"/>
          </w:tcPr>
          <w:p>
            <w:pPr>
              <w:spacing w:after="0"/>
              <w:rPr>
                <w:sz w:val="23"/>
                <w:szCs w:val="23"/>
                <w:color w:val="auto"/>
              </w:rPr>
            </w:pPr>
          </w:p>
        </w:tc>
        <w:tc>
          <w:tcPr>
            <w:tcW w:w="2500" w:type="dxa"/>
            <w:vAlign w:val="bottom"/>
          </w:tcPr>
          <w:p>
            <w:pPr>
              <w:ind w:left="380"/>
              <w:spacing w:after="0"/>
              <w:rPr>
                <w:sz w:val="20"/>
                <w:szCs w:val="20"/>
                <w:color w:val="auto"/>
              </w:rPr>
            </w:pPr>
            <w:r>
              <w:rPr>
                <w:rFonts w:ascii="Arial" w:cs="Arial" w:eastAsia="Arial" w:hAnsi="Arial"/>
                <w:sz w:val="16"/>
                <w:szCs w:val="16"/>
                <w:color w:val="009A4B"/>
                <w:w w:val="98"/>
              </w:rPr>
              <w:t xml:space="preserve">Matthew H. Paull </w:t>
            </w:r>
            <w:r>
              <w:rPr>
                <w:rFonts w:ascii="Arial" w:cs="Arial" w:eastAsia="Arial" w:hAnsi="Arial"/>
                <w:sz w:val="14"/>
                <w:szCs w:val="14"/>
                <w:color w:val="009A4B"/>
                <w:w w:val="98"/>
              </w:rPr>
              <w:t>-</w:t>
            </w:r>
            <w:r>
              <w:rPr>
                <w:rFonts w:ascii="Arial" w:cs="Arial" w:eastAsia="Arial" w:hAnsi="Arial"/>
                <w:sz w:val="16"/>
                <w:szCs w:val="16"/>
                <w:color w:val="009A4B"/>
                <w:w w:val="98"/>
              </w:rPr>
              <w:t xml:space="preserve"> </w:t>
            </w:r>
            <w:r>
              <w:rPr>
                <w:rFonts w:ascii="Arial" w:cs="Arial" w:eastAsia="Arial" w:hAnsi="Arial"/>
                <w:sz w:val="14"/>
                <w:szCs w:val="14"/>
                <w:color w:val="00A4E4"/>
                <w:w w:val="98"/>
              </w:rPr>
              <w:t>Independent</w:t>
            </w:r>
          </w:p>
        </w:tc>
        <w:tc>
          <w:tcPr>
            <w:tcW w:w="50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1360" w:type="dxa"/>
            <w:vAlign w:val="bottom"/>
            <w:tcBorders>
              <w:right w:val="single" w:sz="8" w:color="009A4B"/>
            </w:tcBorders>
            <w:vMerge w:val="restart"/>
          </w:tcPr>
          <w:p>
            <w:pPr>
              <w:jc w:val="right"/>
              <w:ind w:right="489"/>
              <w:spacing w:after="0"/>
              <w:rPr>
                <w:sz w:val="20"/>
                <w:szCs w:val="20"/>
                <w:color w:val="auto"/>
              </w:rPr>
            </w:pPr>
            <w:r>
              <w:rPr>
                <w:rFonts w:ascii="Arial" w:cs="Arial" w:eastAsia="Arial" w:hAnsi="Arial"/>
                <w:sz w:val="14"/>
                <w:szCs w:val="14"/>
                <w:color w:val="auto"/>
              </w:rPr>
              <w:t>8</w:t>
            </w:r>
          </w:p>
        </w:tc>
        <w:tc>
          <w:tcPr>
            <w:tcW w:w="660" w:type="dxa"/>
            <w:vAlign w:val="bottom"/>
            <w:tcBorders>
              <w:right w:val="single" w:sz="8" w:color="009A4B"/>
            </w:tcBorders>
          </w:tcPr>
          <w:p>
            <w:pPr>
              <w:spacing w:after="0"/>
              <w:rPr>
                <w:sz w:val="23"/>
                <w:szCs w:val="23"/>
                <w:color w:val="auto"/>
              </w:rPr>
            </w:pPr>
          </w:p>
        </w:tc>
        <w:tc>
          <w:tcPr>
            <w:tcW w:w="660" w:type="dxa"/>
            <w:vAlign w:val="bottom"/>
            <w:tcBorders>
              <w:right w:val="single" w:sz="8" w:color="009A4B"/>
            </w:tcBorders>
          </w:tcPr>
          <w:p>
            <w:pPr>
              <w:spacing w:after="0"/>
              <w:rPr>
                <w:sz w:val="23"/>
                <w:szCs w:val="23"/>
                <w:color w:val="auto"/>
              </w:rPr>
            </w:pPr>
          </w:p>
        </w:tc>
        <w:tc>
          <w:tcPr>
            <w:tcW w:w="640" w:type="dxa"/>
            <w:vAlign w:val="bottom"/>
            <w:tcBorders>
              <w:right w:val="single" w:sz="8" w:color="009A4B"/>
            </w:tcBorders>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440" w:type="dxa"/>
            <w:vAlign w:val="bottom"/>
          </w:tcPr>
          <w:p>
            <w:pPr>
              <w:spacing w:after="0"/>
              <w:rPr>
                <w:sz w:val="13"/>
                <w:szCs w:val="13"/>
                <w:color w:val="auto"/>
              </w:rPr>
            </w:pPr>
          </w:p>
        </w:tc>
        <w:tc>
          <w:tcPr>
            <w:tcW w:w="6820" w:type="dxa"/>
            <w:vAlign w:val="bottom"/>
            <w:gridSpan w:val="3"/>
          </w:tcPr>
          <w:p>
            <w:pPr>
              <w:ind w:left="380"/>
              <w:spacing w:after="0" w:line="160" w:lineRule="exact"/>
              <w:rPr>
                <w:sz w:val="20"/>
                <w:szCs w:val="20"/>
                <w:color w:val="auto"/>
              </w:rPr>
            </w:pPr>
            <w:r>
              <w:rPr>
                <w:rFonts w:ascii="Arial" w:cs="Arial" w:eastAsia="Arial" w:hAnsi="Arial"/>
                <w:sz w:val="14"/>
                <w:szCs w:val="14"/>
                <w:color w:val="auto"/>
              </w:rPr>
              <w:t>Retired Senior Executive Vice President and Chief Financial Officer of McDonald’s</w:t>
            </w:r>
          </w:p>
        </w:tc>
        <w:tc>
          <w:tcPr>
            <w:tcW w:w="1360" w:type="dxa"/>
            <w:vAlign w:val="bottom"/>
            <w:tcBorders>
              <w:right w:val="single" w:sz="8" w:color="009A4B"/>
            </w:tcBorders>
            <w:vMerge w:val="continue"/>
          </w:tcPr>
          <w:p>
            <w:pPr>
              <w:spacing w:after="0"/>
              <w:rPr>
                <w:sz w:val="13"/>
                <w:szCs w:val="13"/>
                <w:color w:val="auto"/>
              </w:rPr>
            </w:pPr>
          </w:p>
        </w:tc>
        <w:tc>
          <w:tcPr>
            <w:tcW w:w="660" w:type="dxa"/>
            <w:vAlign w:val="bottom"/>
            <w:tcBorders>
              <w:right w:val="single" w:sz="8" w:color="009A4B"/>
            </w:tcBorders>
          </w:tcPr>
          <w:p>
            <w:pPr>
              <w:spacing w:after="0"/>
              <w:rPr>
                <w:sz w:val="13"/>
                <w:szCs w:val="13"/>
                <w:color w:val="auto"/>
              </w:rPr>
            </w:pPr>
          </w:p>
        </w:tc>
        <w:tc>
          <w:tcPr>
            <w:tcW w:w="660" w:type="dxa"/>
            <w:vAlign w:val="bottom"/>
            <w:tcBorders>
              <w:right w:val="single" w:sz="8" w:color="009A4B"/>
            </w:tcBorders>
          </w:tcPr>
          <w:p>
            <w:pPr>
              <w:spacing w:after="0"/>
              <w:rPr>
                <w:sz w:val="13"/>
                <w:szCs w:val="13"/>
                <w:color w:val="auto"/>
              </w:rPr>
            </w:pPr>
          </w:p>
        </w:tc>
        <w:tc>
          <w:tcPr>
            <w:tcW w:w="640" w:type="dxa"/>
            <w:vAlign w:val="bottom"/>
            <w:tcBorders>
              <w:right w:val="single" w:sz="8" w:color="009A4B"/>
            </w:tcBorders>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40" w:type="dxa"/>
            <w:vAlign w:val="bottom"/>
          </w:tcPr>
          <w:p>
            <w:pPr>
              <w:spacing w:after="0"/>
              <w:rPr>
                <w:sz w:val="14"/>
                <w:szCs w:val="14"/>
                <w:color w:val="auto"/>
              </w:rPr>
            </w:pPr>
          </w:p>
        </w:tc>
        <w:tc>
          <w:tcPr>
            <w:tcW w:w="2500" w:type="dxa"/>
            <w:vAlign w:val="bottom"/>
          </w:tcPr>
          <w:p>
            <w:pPr>
              <w:ind w:left="380"/>
              <w:spacing w:after="0"/>
              <w:rPr>
                <w:sz w:val="20"/>
                <w:szCs w:val="20"/>
                <w:color w:val="auto"/>
              </w:rPr>
            </w:pPr>
            <w:r>
              <w:rPr>
                <w:rFonts w:ascii="Arial" w:cs="Arial" w:eastAsia="Arial" w:hAnsi="Arial"/>
                <w:sz w:val="14"/>
                <w:szCs w:val="14"/>
                <w:color w:val="auto"/>
              </w:rPr>
              <w:t>Corporation</w:t>
            </w:r>
          </w:p>
        </w:tc>
        <w:tc>
          <w:tcPr>
            <w:tcW w:w="5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360" w:type="dxa"/>
            <w:vAlign w:val="bottom"/>
            <w:tcBorders>
              <w:right w:val="single" w:sz="8" w:color="009A4B"/>
            </w:tcBorders>
          </w:tcPr>
          <w:p>
            <w:pPr>
              <w:spacing w:after="0"/>
              <w:rPr>
                <w:sz w:val="14"/>
                <w:szCs w:val="14"/>
                <w:color w:val="auto"/>
              </w:rPr>
            </w:pPr>
          </w:p>
        </w:tc>
        <w:tc>
          <w:tcPr>
            <w:tcW w:w="660" w:type="dxa"/>
            <w:vAlign w:val="bottom"/>
            <w:tcBorders>
              <w:right w:val="single" w:sz="8" w:color="009A4B"/>
            </w:tcBorders>
          </w:tcPr>
          <w:p>
            <w:pPr>
              <w:spacing w:after="0"/>
              <w:rPr>
                <w:sz w:val="14"/>
                <w:szCs w:val="14"/>
                <w:color w:val="auto"/>
              </w:rPr>
            </w:pPr>
          </w:p>
        </w:tc>
        <w:tc>
          <w:tcPr>
            <w:tcW w:w="660" w:type="dxa"/>
            <w:vAlign w:val="bottom"/>
            <w:tcBorders>
              <w:right w:val="single" w:sz="8" w:color="009A4B"/>
            </w:tcBorders>
          </w:tcPr>
          <w:p>
            <w:pPr>
              <w:spacing w:after="0"/>
              <w:rPr>
                <w:sz w:val="14"/>
                <w:szCs w:val="14"/>
                <w:color w:val="auto"/>
              </w:rPr>
            </w:pPr>
          </w:p>
        </w:tc>
        <w:tc>
          <w:tcPr>
            <w:tcW w:w="640" w:type="dxa"/>
            <w:vAlign w:val="bottom"/>
            <w:tcBorders>
              <w:right w:val="single" w:sz="8" w:color="009A4B"/>
            </w:tcBorders>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40" w:type="dxa"/>
            <w:vAlign w:val="bottom"/>
            <w:tcBorders>
              <w:bottom w:val="single" w:sz="8" w:color="939598"/>
            </w:tcBorders>
          </w:tcPr>
          <w:p>
            <w:pPr>
              <w:spacing w:after="0"/>
              <w:rPr>
                <w:sz w:val="9"/>
                <w:szCs w:val="9"/>
                <w:color w:val="auto"/>
              </w:rPr>
            </w:pPr>
          </w:p>
        </w:tc>
        <w:tc>
          <w:tcPr>
            <w:tcW w:w="2500" w:type="dxa"/>
            <w:vAlign w:val="bottom"/>
            <w:tcBorders>
              <w:bottom w:val="single" w:sz="8" w:color="939598"/>
            </w:tcBorders>
          </w:tcPr>
          <w:p>
            <w:pPr>
              <w:spacing w:after="0"/>
              <w:rPr>
                <w:sz w:val="9"/>
                <w:szCs w:val="9"/>
                <w:color w:val="auto"/>
              </w:rPr>
            </w:pPr>
          </w:p>
        </w:tc>
        <w:tc>
          <w:tcPr>
            <w:tcW w:w="500" w:type="dxa"/>
            <w:vAlign w:val="bottom"/>
            <w:tcBorders>
              <w:bottom w:val="single" w:sz="8" w:color="939598"/>
            </w:tcBorders>
          </w:tcPr>
          <w:p>
            <w:pPr>
              <w:spacing w:after="0"/>
              <w:rPr>
                <w:sz w:val="9"/>
                <w:szCs w:val="9"/>
                <w:color w:val="auto"/>
              </w:rPr>
            </w:pPr>
          </w:p>
        </w:tc>
        <w:tc>
          <w:tcPr>
            <w:tcW w:w="3820" w:type="dxa"/>
            <w:vAlign w:val="bottom"/>
            <w:tcBorders>
              <w:bottom w:val="single" w:sz="8" w:color="939598"/>
            </w:tcBorders>
          </w:tcPr>
          <w:p>
            <w:pPr>
              <w:spacing w:after="0"/>
              <w:rPr>
                <w:sz w:val="9"/>
                <w:szCs w:val="9"/>
                <w:color w:val="auto"/>
              </w:rPr>
            </w:pPr>
          </w:p>
        </w:tc>
        <w:tc>
          <w:tcPr>
            <w:tcW w:w="1360" w:type="dxa"/>
            <w:vAlign w:val="bottom"/>
            <w:tcBorders>
              <w:bottom w:val="single" w:sz="8" w:color="939598"/>
              <w:right w:val="single" w:sz="8" w:color="009A4B"/>
            </w:tcBorders>
          </w:tcPr>
          <w:p>
            <w:pPr>
              <w:spacing w:after="0"/>
              <w:rPr>
                <w:sz w:val="9"/>
                <w:szCs w:val="9"/>
                <w:color w:val="auto"/>
              </w:rPr>
            </w:pPr>
          </w:p>
        </w:tc>
        <w:tc>
          <w:tcPr>
            <w:tcW w:w="660" w:type="dxa"/>
            <w:vAlign w:val="bottom"/>
            <w:tcBorders>
              <w:bottom w:val="single" w:sz="8" w:color="009A4B"/>
              <w:right w:val="single" w:sz="8" w:color="009A4B"/>
            </w:tcBorders>
          </w:tcPr>
          <w:p>
            <w:pPr>
              <w:spacing w:after="0"/>
              <w:rPr>
                <w:sz w:val="9"/>
                <w:szCs w:val="9"/>
                <w:color w:val="auto"/>
              </w:rPr>
            </w:pPr>
          </w:p>
        </w:tc>
        <w:tc>
          <w:tcPr>
            <w:tcW w:w="660" w:type="dxa"/>
            <w:vAlign w:val="bottom"/>
            <w:tcBorders>
              <w:bottom w:val="single" w:sz="8" w:color="009A4B"/>
              <w:right w:val="single" w:sz="8" w:color="009A4B"/>
            </w:tcBorders>
          </w:tcPr>
          <w:p>
            <w:pPr>
              <w:spacing w:after="0"/>
              <w:rPr>
                <w:sz w:val="9"/>
                <w:szCs w:val="9"/>
                <w:color w:val="auto"/>
              </w:rPr>
            </w:pPr>
          </w:p>
        </w:tc>
        <w:tc>
          <w:tcPr>
            <w:tcW w:w="640" w:type="dxa"/>
            <w:vAlign w:val="bottom"/>
            <w:tcBorders>
              <w:bottom w:val="single" w:sz="8" w:color="009A4B"/>
              <w:right w:val="single" w:sz="8" w:color="009A4B"/>
            </w:tcBorders>
          </w:tcPr>
          <w:p>
            <w:pPr>
              <w:spacing w:after="0"/>
              <w:rPr>
                <w:sz w:val="9"/>
                <w:szCs w:val="9"/>
                <w:color w:val="auto"/>
              </w:rPr>
            </w:pPr>
          </w:p>
        </w:tc>
        <w:tc>
          <w:tcPr>
            <w:tcW w:w="660" w:type="dxa"/>
            <w:vAlign w:val="bottom"/>
            <w:tcBorders>
              <w:bottom w:val="single" w:sz="8" w:color="009A4B"/>
            </w:tcBorders>
          </w:tcPr>
          <w:p>
            <w:pPr>
              <w:spacing w:after="0"/>
              <w:rPr>
                <w:sz w:val="9"/>
                <w:szCs w:val="9"/>
                <w:color w:val="auto"/>
              </w:rPr>
            </w:pPr>
          </w:p>
        </w:tc>
        <w:tc>
          <w:tcPr>
            <w:tcW w:w="0" w:type="dxa"/>
            <w:vAlign w:val="bottom"/>
          </w:tcPr>
          <w:p>
            <w:pPr>
              <w:spacing w:after="0"/>
              <w:rPr>
                <w:sz w:val="1"/>
                <w:szCs w:val="1"/>
                <w:color w:val="auto"/>
              </w:rPr>
            </w:pPr>
          </w:p>
        </w:tc>
      </w:tr>
      <w:tr>
        <w:trPr>
          <w:trHeight w:val="354"/>
        </w:trPr>
        <w:tc>
          <w:tcPr>
            <w:tcW w:w="440" w:type="dxa"/>
            <w:vAlign w:val="bottom"/>
          </w:tcPr>
          <w:p>
            <w:pPr>
              <w:spacing w:after="0"/>
              <w:rPr>
                <w:sz w:val="24"/>
                <w:szCs w:val="24"/>
                <w:color w:val="auto"/>
              </w:rPr>
            </w:pPr>
          </w:p>
        </w:tc>
        <w:tc>
          <w:tcPr>
            <w:tcW w:w="2500" w:type="dxa"/>
            <w:vAlign w:val="bottom"/>
          </w:tcPr>
          <w:p>
            <w:pPr>
              <w:ind w:left="380"/>
              <w:spacing w:after="0"/>
              <w:rPr>
                <w:sz w:val="20"/>
                <w:szCs w:val="20"/>
                <w:color w:val="auto"/>
              </w:rPr>
            </w:pPr>
            <w:r>
              <w:rPr>
                <w:rFonts w:ascii="Arial" w:cs="Arial" w:eastAsia="Arial" w:hAnsi="Arial"/>
                <w:sz w:val="16"/>
                <w:szCs w:val="16"/>
                <w:color w:val="009A4B"/>
              </w:rPr>
              <w:t xml:space="preserve">Wayne T. Smith </w:t>
            </w:r>
            <w:r>
              <w:rPr>
                <w:rFonts w:ascii="Arial" w:cs="Arial" w:eastAsia="Arial" w:hAnsi="Arial"/>
                <w:sz w:val="14"/>
                <w:szCs w:val="14"/>
                <w:color w:val="009A4B"/>
              </w:rPr>
              <w:t>-</w:t>
            </w:r>
            <w:r>
              <w:rPr>
                <w:rFonts w:ascii="Arial" w:cs="Arial" w:eastAsia="Arial" w:hAnsi="Arial"/>
                <w:sz w:val="16"/>
                <w:szCs w:val="16"/>
                <w:color w:val="009A4B"/>
              </w:rPr>
              <w:t xml:space="preserve"> </w:t>
            </w:r>
            <w:r>
              <w:rPr>
                <w:rFonts w:ascii="Arial" w:cs="Arial" w:eastAsia="Arial" w:hAnsi="Arial"/>
                <w:sz w:val="14"/>
                <w:szCs w:val="14"/>
                <w:color w:val="00A4E4"/>
              </w:rPr>
              <w:t>Independent</w:t>
            </w:r>
          </w:p>
        </w:tc>
        <w:tc>
          <w:tcPr>
            <w:tcW w:w="5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360" w:type="dxa"/>
            <w:vAlign w:val="bottom"/>
            <w:tcBorders>
              <w:right w:val="single" w:sz="8" w:color="009A4B"/>
            </w:tcBorders>
            <w:vMerge w:val="restart"/>
          </w:tcPr>
          <w:p>
            <w:pPr>
              <w:jc w:val="right"/>
              <w:ind w:right="489"/>
              <w:spacing w:after="0"/>
              <w:rPr>
                <w:sz w:val="20"/>
                <w:szCs w:val="20"/>
                <w:color w:val="auto"/>
              </w:rPr>
            </w:pPr>
            <w:r>
              <w:rPr>
                <w:rFonts w:ascii="Arial" w:cs="Arial" w:eastAsia="Arial" w:hAnsi="Arial"/>
                <w:sz w:val="14"/>
                <w:szCs w:val="14"/>
                <w:color w:val="auto"/>
              </w:rPr>
              <w:t>0</w:t>
            </w:r>
          </w:p>
        </w:tc>
        <w:tc>
          <w:tcPr>
            <w:tcW w:w="660" w:type="dxa"/>
            <w:vAlign w:val="bottom"/>
            <w:tcBorders>
              <w:right w:val="single" w:sz="8" w:color="009A4B"/>
            </w:tcBorders>
          </w:tcPr>
          <w:p>
            <w:pPr>
              <w:spacing w:after="0"/>
              <w:rPr>
                <w:sz w:val="24"/>
                <w:szCs w:val="24"/>
                <w:color w:val="auto"/>
              </w:rPr>
            </w:pPr>
          </w:p>
        </w:tc>
        <w:tc>
          <w:tcPr>
            <w:tcW w:w="660" w:type="dxa"/>
            <w:vAlign w:val="bottom"/>
            <w:tcBorders>
              <w:right w:val="single" w:sz="8" w:color="009A4B"/>
            </w:tcBorders>
          </w:tcPr>
          <w:p>
            <w:pPr>
              <w:spacing w:after="0"/>
              <w:rPr>
                <w:sz w:val="24"/>
                <w:szCs w:val="24"/>
                <w:color w:val="auto"/>
              </w:rPr>
            </w:pPr>
          </w:p>
        </w:tc>
        <w:tc>
          <w:tcPr>
            <w:tcW w:w="640" w:type="dxa"/>
            <w:vAlign w:val="bottom"/>
            <w:tcBorders>
              <w:right w:val="single" w:sz="8" w:color="009A4B"/>
            </w:tcBorders>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440" w:type="dxa"/>
            <w:vAlign w:val="bottom"/>
          </w:tcPr>
          <w:p>
            <w:pPr>
              <w:spacing w:after="0"/>
              <w:rPr>
                <w:sz w:val="6"/>
                <w:szCs w:val="6"/>
                <w:color w:val="auto"/>
              </w:rPr>
            </w:pPr>
          </w:p>
        </w:tc>
        <w:tc>
          <w:tcPr>
            <w:tcW w:w="6820" w:type="dxa"/>
            <w:vAlign w:val="bottom"/>
            <w:gridSpan w:val="3"/>
            <w:vMerge w:val="restart"/>
          </w:tcPr>
          <w:p>
            <w:pPr>
              <w:ind w:left="380"/>
              <w:spacing w:after="0"/>
              <w:rPr>
                <w:sz w:val="20"/>
                <w:szCs w:val="20"/>
                <w:color w:val="auto"/>
              </w:rPr>
            </w:pPr>
            <w:r>
              <w:rPr>
                <w:rFonts w:ascii="Arial" w:cs="Arial" w:eastAsia="Arial" w:hAnsi="Arial"/>
                <w:sz w:val="14"/>
                <w:szCs w:val="14"/>
                <w:color w:val="auto"/>
              </w:rPr>
              <w:t>Retired Chairman and Chief Executive Officer of BASF Corporation</w:t>
            </w:r>
          </w:p>
        </w:tc>
        <w:tc>
          <w:tcPr>
            <w:tcW w:w="1360" w:type="dxa"/>
            <w:vAlign w:val="bottom"/>
            <w:tcBorders>
              <w:right w:val="single" w:sz="8" w:color="009A4B"/>
            </w:tcBorders>
            <w:vMerge w:val="continue"/>
          </w:tcPr>
          <w:p>
            <w:pPr>
              <w:spacing w:after="0"/>
              <w:rPr>
                <w:sz w:val="6"/>
                <w:szCs w:val="6"/>
                <w:color w:val="auto"/>
              </w:rPr>
            </w:pPr>
          </w:p>
        </w:tc>
        <w:tc>
          <w:tcPr>
            <w:tcW w:w="660" w:type="dxa"/>
            <w:vAlign w:val="bottom"/>
            <w:tcBorders>
              <w:right w:val="single" w:sz="8" w:color="009A4B"/>
            </w:tcBorders>
          </w:tcPr>
          <w:p>
            <w:pPr>
              <w:spacing w:after="0"/>
              <w:rPr>
                <w:sz w:val="6"/>
                <w:szCs w:val="6"/>
                <w:color w:val="auto"/>
              </w:rPr>
            </w:pPr>
          </w:p>
        </w:tc>
        <w:tc>
          <w:tcPr>
            <w:tcW w:w="660" w:type="dxa"/>
            <w:vAlign w:val="bottom"/>
            <w:tcBorders>
              <w:right w:val="single" w:sz="8" w:color="009A4B"/>
            </w:tcBorders>
          </w:tcPr>
          <w:p>
            <w:pPr>
              <w:spacing w:after="0"/>
              <w:rPr>
                <w:sz w:val="6"/>
                <w:szCs w:val="6"/>
                <w:color w:val="auto"/>
              </w:rPr>
            </w:pPr>
          </w:p>
        </w:tc>
        <w:tc>
          <w:tcPr>
            <w:tcW w:w="640" w:type="dxa"/>
            <w:vAlign w:val="bottom"/>
            <w:tcBorders>
              <w:right w:val="single" w:sz="8" w:color="009A4B"/>
            </w:tcBorders>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440" w:type="dxa"/>
            <w:vAlign w:val="bottom"/>
          </w:tcPr>
          <w:p>
            <w:pPr>
              <w:spacing w:after="0"/>
              <w:rPr>
                <w:sz w:val="8"/>
                <w:szCs w:val="8"/>
                <w:color w:val="auto"/>
              </w:rPr>
            </w:pPr>
          </w:p>
        </w:tc>
        <w:tc>
          <w:tcPr>
            <w:tcW w:w="6820" w:type="dxa"/>
            <w:vAlign w:val="bottom"/>
            <w:gridSpan w:val="3"/>
            <w:vMerge w:val="continue"/>
          </w:tcPr>
          <w:p>
            <w:pPr>
              <w:spacing w:after="0"/>
              <w:rPr>
                <w:sz w:val="8"/>
                <w:szCs w:val="8"/>
                <w:color w:val="auto"/>
              </w:rPr>
            </w:pPr>
          </w:p>
        </w:tc>
        <w:tc>
          <w:tcPr>
            <w:tcW w:w="1360" w:type="dxa"/>
            <w:vAlign w:val="bottom"/>
            <w:tcBorders>
              <w:right w:val="single" w:sz="8" w:color="009A4B"/>
            </w:tcBorders>
          </w:tcPr>
          <w:p>
            <w:pPr>
              <w:spacing w:after="0"/>
              <w:rPr>
                <w:sz w:val="8"/>
                <w:szCs w:val="8"/>
                <w:color w:val="auto"/>
              </w:rPr>
            </w:pPr>
          </w:p>
        </w:tc>
        <w:tc>
          <w:tcPr>
            <w:tcW w:w="660" w:type="dxa"/>
            <w:vAlign w:val="bottom"/>
            <w:tcBorders>
              <w:right w:val="single" w:sz="8" w:color="009A4B"/>
            </w:tcBorders>
          </w:tcPr>
          <w:p>
            <w:pPr>
              <w:spacing w:after="0"/>
              <w:rPr>
                <w:sz w:val="8"/>
                <w:szCs w:val="8"/>
                <w:color w:val="auto"/>
              </w:rPr>
            </w:pPr>
          </w:p>
        </w:tc>
        <w:tc>
          <w:tcPr>
            <w:tcW w:w="660" w:type="dxa"/>
            <w:vAlign w:val="bottom"/>
            <w:tcBorders>
              <w:right w:val="single" w:sz="8" w:color="009A4B"/>
            </w:tcBorders>
          </w:tcPr>
          <w:p>
            <w:pPr>
              <w:spacing w:after="0"/>
              <w:rPr>
                <w:sz w:val="8"/>
                <w:szCs w:val="8"/>
                <w:color w:val="auto"/>
              </w:rPr>
            </w:pPr>
          </w:p>
        </w:tc>
        <w:tc>
          <w:tcPr>
            <w:tcW w:w="640" w:type="dxa"/>
            <w:vAlign w:val="bottom"/>
            <w:tcBorders>
              <w:right w:val="single" w:sz="8" w:color="009A4B"/>
            </w:tcBorders>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4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82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009A4B"/>
            </w:tcBorders>
          </w:tcPr>
          <w:p>
            <w:pPr>
              <w:spacing w:after="0"/>
              <w:rPr>
                <w:sz w:val="15"/>
                <w:szCs w:val="15"/>
                <w:color w:val="auto"/>
              </w:rPr>
            </w:pPr>
          </w:p>
        </w:tc>
        <w:tc>
          <w:tcPr>
            <w:tcW w:w="660" w:type="dxa"/>
            <w:vAlign w:val="bottom"/>
            <w:tcBorders>
              <w:bottom w:val="single" w:sz="8" w:color="009A4B"/>
              <w:right w:val="single" w:sz="8" w:color="009A4B"/>
            </w:tcBorders>
          </w:tcPr>
          <w:p>
            <w:pPr>
              <w:spacing w:after="0"/>
              <w:rPr>
                <w:sz w:val="15"/>
                <w:szCs w:val="15"/>
                <w:color w:val="auto"/>
              </w:rPr>
            </w:pPr>
          </w:p>
        </w:tc>
        <w:tc>
          <w:tcPr>
            <w:tcW w:w="660" w:type="dxa"/>
            <w:vAlign w:val="bottom"/>
            <w:tcBorders>
              <w:bottom w:val="single" w:sz="8" w:color="009A4B"/>
              <w:right w:val="single" w:sz="8" w:color="009A4B"/>
            </w:tcBorders>
          </w:tcPr>
          <w:p>
            <w:pPr>
              <w:spacing w:after="0"/>
              <w:rPr>
                <w:sz w:val="15"/>
                <w:szCs w:val="15"/>
                <w:color w:val="auto"/>
              </w:rPr>
            </w:pPr>
          </w:p>
        </w:tc>
        <w:tc>
          <w:tcPr>
            <w:tcW w:w="640" w:type="dxa"/>
            <w:vAlign w:val="bottom"/>
            <w:tcBorders>
              <w:bottom w:val="single" w:sz="8" w:color="009A4B"/>
              <w:right w:val="single" w:sz="8" w:color="009A4B"/>
            </w:tcBorders>
          </w:tcPr>
          <w:p>
            <w:pPr>
              <w:spacing w:after="0"/>
              <w:rPr>
                <w:sz w:val="15"/>
                <w:szCs w:val="15"/>
                <w:color w:val="auto"/>
              </w:rPr>
            </w:pPr>
          </w:p>
        </w:tc>
        <w:tc>
          <w:tcPr>
            <w:tcW w:w="660" w:type="dxa"/>
            <w:vAlign w:val="bottom"/>
            <w:tcBorders>
              <w:bottom w:val="single" w:sz="8" w:color="009A4B"/>
            </w:tcBorders>
          </w:tcPr>
          <w:p>
            <w:pPr>
              <w:spacing w:after="0"/>
              <w:rPr>
                <w:sz w:val="15"/>
                <w:szCs w:val="15"/>
                <w:color w:val="auto"/>
              </w:rPr>
            </w:pPr>
          </w:p>
        </w:tc>
        <w:tc>
          <w:tcPr>
            <w:tcW w:w="0" w:type="dxa"/>
            <w:vAlign w:val="bottom"/>
          </w:tcPr>
          <w:p>
            <w:pPr>
              <w:spacing w:after="0"/>
              <w:rPr>
                <w:sz w:val="1"/>
                <w:szCs w:val="1"/>
                <w:color w:val="auto"/>
              </w:rPr>
            </w:pPr>
          </w:p>
        </w:tc>
      </w:tr>
      <w:tr>
        <w:trPr>
          <w:trHeight w:val="401"/>
        </w:trPr>
        <w:tc>
          <w:tcPr>
            <w:tcW w:w="440" w:type="dxa"/>
            <w:vAlign w:val="bottom"/>
          </w:tcPr>
          <w:p>
            <w:pPr>
              <w:spacing w:after="0"/>
              <w:rPr>
                <w:sz w:val="20"/>
                <w:szCs w:val="20"/>
                <w:color w:val="auto"/>
              </w:rPr>
            </w:pPr>
            <w:r>
              <w:rPr>
                <w:rFonts w:ascii="Arial" w:cs="Arial" w:eastAsia="Arial" w:hAnsi="Arial"/>
                <w:sz w:val="14"/>
                <w:szCs w:val="14"/>
                <w:color w:val="009A4B"/>
              </w:rPr>
              <w:t>AF</w:t>
            </w:r>
          </w:p>
        </w:tc>
        <w:tc>
          <w:tcPr>
            <w:tcW w:w="2500" w:type="dxa"/>
            <w:vAlign w:val="bottom"/>
          </w:tcPr>
          <w:p>
            <w:pPr>
              <w:ind w:left="240"/>
              <w:spacing w:after="0"/>
              <w:rPr>
                <w:sz w:val="20"/>
                <w:szCs w:val="20"/>
                <w:color w:val="auto"/>
              </w:rPr>
            </w:pPr>
            <w:r>
              <w:rPr>
                <w:rFonts w:ascii="Arial" w:cs="Arial" w:eastAsia="Arial" w:hAnsi="Arial"/>
                <w:sz w:val="14"/>
                <w:szCs w:val="14"/>
                <w:color w:val="auto"/>
              </w:rPr>
              <w:t>Audit and Finance</w:t>
            </w:r>
          </w:p>
        </w:tc>
        <w:tc>
          <w:tcPr>
            <w:tcW w:w="500" w:type="dxa"/>
            <w:vAlign w:val="bottom"/>
          </w:tcPr>
          <w:p>
            <w:pPr>
              <w:spacing w:after="0"/>
              <w:rPr>
                <w:sz w:val="20"/>
                <w:szCs w:val="20"/>
                <w:color w:val="auto"/>
              </w:rPr>
            </w:pPr>
            <w:r>
              <w:rPr>
                <w:rFonts w:ascii="Arial" w:cs="Arial" w:eastAsia="Arial" w:hAnsi="Arial"/>
                <w:sz w:val="14"/>
                <w:szCs w:val="14"/>
                <w:color w:val="009A4B"/>
              </w:rPr>
              <w:t>CGN</w:t>
            </w:r>
          </w:p>
        </w:tc>
        <w:tc>
          <w:tcPr>
            <w:tcW w:w="3820" w:type="dxa"/>
            <w:vAlign w:val="bottom"/>
          </w:tcPr>
          <w:p>
            <w:pPr>
              <w:ind w:left="180"/>
              <w:spacing w:after="0"/>
              <w:rPr>
                <w:sz w:val="20"/>
                <w:szCs w:val="20"/>
                <w:color w:val="auto"/>
              </w:rPr>
            </w:pPr>
            <w:r>
              <w:rPr>
                <w:rFonts w:ascii="Arial" w:cs="Arial" w:eastAsia="Arial" w:hAnsi="Arial"/>
                <w:sz w:val="14"/>
                <w:szCs w:val="14"/>
                <w:color w:val="auto"/>
              </w:rPr>
              <w:t>Corporate Governance and Nominating</w:t>
            </w: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4"/>
                <w:szCs w:val="14"/>
                <w:color w:val="auto"/>
              </w:rPr>
              <w:t>Chair</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0" w:type="dxa"/>
            <w:vAlign w:val="bottom"/>
          </w:tcPr>
          <w:p>
            <w:pPr>
              <w:spacing w:after="0"/>
              <w:rPr>
                <w:sz w:val="20"/>
                <w:szCs w:val="20"/>
                <w:color w:val="auto"/>
              </w:rPr>
            </w:pPr>
            <w:r>
              <w:rPr>
                <w:rFonts w:ascii="Arial" w:cs="Arial" w:eastAsia="Arial" w:hAnsi="Arial"/>
                <w:sz w:val="14"/>
                <w:szCs w:val="14"/>
                <w:color w:val="009A4B"/>
              </w:rPr>
              <w:t>E</w:t>
            </w:r>
          </w:p>
        </w:tc>
        <w:tc>
          <w:tcPr>
            <w:tcW w:w="2500" w:type="dxa"/>
            <w:vAlign w:val="bottom"/>
          </w:tcPr>
          <w:p>
            <w:pPr>
              <w:ind w:left="240"/>
              <w:spacing w:after="0"/>
              <w:rPr>
                <w:sz w:val="20"/>
                <w:szCs w:val="20"/>
                <w:color w:val="auto"/>
              </w:rPr>
            </w:pPr>
            <w:r>
              <w:rPr>
                <w:rFonts w:ascii="Arial" w:cs="Arial" w:eastAsia="Arial" w:hAnsi="Arial"/>
                <w:sz w:val="14"/>
                <w:szCs w:val="14"/>
                <w:color w:val="auto"/>
              </w:rPr>
              <w:t>Executive</w:t>
            </w:r>
          </w:p>
        </w:tc>
        <w:tc>
          <w:tcPr>
            <w:tcW w:w="500" w:type="dxa"/>
            <w:vAlign w:val="bottom"/>
          </w:tcPr>
          <w:p>
            <w:pPr>
              <w:spacing w:after="0"/>
              <w:rPr>
                <w:sz w:val="20"/>
                <w:szCs w:val="20"/>
                <w:color w:val="auto"/>
              </w:rPr>
            </w:pPr>
            <w:r>
              <w:rPr>
                <w:rFonts w:ascii="Arial" w:cs="Arial" w:eastAsia="Arial" w:hAnsi="Arial"/>
                <w:sz w:val="14"/>
                <w:szCs w:val="14"/>
                <w:color w:val="009A4B"/>
              </w:rPr>
              <w:t>MDC</w:t>
            </w:r>
          </w:p>
        </w:tc>
        <w:tc>
          <w:tcPr>
            <w:tcW w:w="3820" w:type="dxa"/>
            <w:vAlign w:val="bottom"/>
          </w:tcPr>
          <w:p>
            <w:pPr>
              <w:ind w:left="180"/>
              <w:spacing w:after="0"/>
              <w:rPr>
                <w:sz w:val="20"/>
                <w:szCs w:val="20"/>
                <w:color w:val="auto"/>
              </w:rPr>
            </w:pPr>
            <w:r>
              <w:rPr>
                <w:rFonts w:ascii="Arial" w:cs="Arial" w:eastAsia="Arial" w:hAnsi="Arial"/>
                <w:sz w:val="14"/>
                <w:szCs w:val="14"/>
                <w:color w:val="auto"/>
              </w:rPr>
              <w:t>Management Development and Compensation</w:t>
            </w: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ind w:left="40"/>
              <w:spacing w:after="0"/>
              <w:rPr>
                <w:sz w:val="20"/>
                <w:szCs w:val="20"/>
                <w:color w:val="auto"/>
              </w:rPr>
            </w:pPr>
            <w:r>
              <w:rPr>
                <w:rFonts w:ascii="Arial" w:cs="Arial" w:eastAsia="Arial" w:hAnsi="Arial"/>
                <w:sz w:val="14"/>
                <w:szCs w:val="14"/>
                <w:color w:val="auto"/>
              </w:rPr>
              <w:t>Member</w:t>
            </w: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5718175</wp:posOffset>
            </wp:positionH>
            <wp:positionV relativeFrom="paragraph">
              <wp:posOffset>-304800</wp:posOffset>
            </wp:positionV>
            <wp:extent cx="127000" cy="27876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0" cy="278765"/>
                    </a:xfrm>
                    <a:prstGeom prst="rect">
                      <a:avLst/>
                    </a:prstGeom>
                    <a:noFill/>
                  </pic:spPr>
                </pic:pic>
              </a:graphicData>
            </a:graphic>
          </wp:anchor>
        </w:drawing>
      </w:r>
    </w:p>
    <w:p>
      <w:pPr>
        <w:spacing w:after="0" w:line="37" w:lineRule="exact"/>
        <w:rPr>
          <w:sz w:val="20"/>
          <w:szCs w:val="20"/>
          <w:color w:val="auto"/>
        </w:rPr>
      </w:pPr>
    </w:p>
    <w:p>
      <w:pPr>
        <w:ind w:left="120" w:hanging="114"/>
        <w:spacing w:after="0"/>
        <w:tabs>
          <w:tab w:leader="none" w:pos="120" w:val="left"/>
        </w:tabs>
        <w:numPr>
          <w:ilvl w:val="0"/>
          <w:numId w:val="15"/>
        </w:numPr>
        <w:rPr>
          <w:rFonts w:ascii="Arial" w:cs="Arial" w:eastAsia="Arial" w:hAnsi="Arial"/>
          <w:sz w:val="24"/>
          <w:szCs w:val="24"/>
          <w:color w:val="auto"/>
          <w:vertAlign w:val="superscript"/>
        </w:rPr>
      </w:pPr>
      <w:r>
        <w:rPr>
          <w:rFonts w:ascii="Arial" w:cs="Arial" w:eastAsia="Arial" w:hAnsi="Arial"/>
          <w:sz w:val="14"/>
          <w:szCs w:val="14"/>
          <w:color w:val="auto"/>
        </w:rPr>
        <w:t>Mr. Monser will become Chair of the CGN Committee effective at the conclusion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74930</wp:posOffset>
            </wp:positionV>
            <wp:extent cx="845185" cy="20256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45185" cy="20256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7155180" cy="209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color w:val="auto"/>
        </w:rPr>
        <w:t>The Board is composed of a diverse group of leaders in their respective fields. Our directors have leadership experience at major domestic and international companies with operations inside and outside the United States. Our directors also have experience on other companies’ boards, which provides an understanding of different business processes, challenges, strategies and approaches to problem-solving. Our directors have substantial experience in key aspects of our operations, finance and capital management and government relations as well as in the market sectors we serve, including the energy, electronics and chemicals industries. Our directors also possess extensive experience in functional areas that are important to the execution of their oversight responsibilities, including corporate governance, accounting and financial reporting, information technology, mergers and acquisitions, investor relations and legal affairs. We believe all of our directors have personal traits such as candor, integrity, commitment and collegiality that are essential to effective corporate governance.</w:t>
      </w:r>
    </w:p>
    <w:p>
      <w:pPr>
        <w:spacing w:after="0" w:line="154" w:lineRule="exact"/>
        <w:rPr>
          <w:sz w:val="20"/>
          <w:szCs w:val="20"/>
          <w:color w:val="auto"/>
        </w:rPr>
      </w:pPr>
    </w:p>
    <w:p>
      <w:pPr>
        <w:ind w:right="240"/>
        <w:spacing w:after="0" w:line="254" w:lineRule="auto"/>
        <w:rPr>
          <w:sz w:val="20"/>
          <w:szCs w:val="20"/>
          <w:color w:val="auto"/>
        </w:rPr>
      </w:pPr>
      <w:r>
        <w:rPr>
          <w:rFonts w:ascii="Arial" w:cs="Arial" w:eastAsia="Arial" w:hAnsi="Arial"/>
          <w:sz w:val="16"/>
          <w:szCs w:val="16"/>
          <w:color w:val="auto"/>
        </w:rPr>
        <w:t>The Board believes its current members reflect a diverse array of skills, perspectives and experience as well as ethnic, gender and geographic diversity. For additional information, please refer to our directors’ skills matrix and other information below.</w:t>
      </w:r>
    </w:p>
    <w:p>
      <w:pPr>
        <w:spacing w:after="0" w:line="190" w:lineRule="exact"/>
        <w:rPr>
          <w:sz w:val="20"/>
          <w:szCs w:val="20"/>
          <w:color w:val="auto"/>
        </w:rPr>
      </w:pPr>
    </w:p>
    <w:p>
      <w:pPr>
        <w:spacing w:after="0"/>
        <w:rPr>
          <w:sz w:val="20"/>
          <w:szCs w:val="20"/>
          <w:color w:val="auto"/>
        </w:rPr>
      </w:pPr>
      <w:r>
        <w:rPr>
          <w:rFonts w:ascii="Arial" w:cs="Arial" w:eastAsia="Arial" w:hAnsi="Arial"/>
          <w:sz w:val="28"/>
          <w:szCs w:val="28"/>
          <w:color w:val="009A4B"/>
        </w:rPr>
        <w:t>Board Snapshot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225"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314"/>
        </w:trPr>
        <w:tc>
          <w:tcPr>
            <w:tcW w:w="3400" w:type="dxa"/>
            <w:vAlign w:val="bottom"/>
            <w:tcBorders>
              <w:right w:val="single" w:sz="8" w:color="009A4B"/>
            </w:tcBorders>
          </w:tcPr>
          <w:p>
            <w:pPr>
              <w:spacing w:after="0"/>
              <w:rPr>
                <w:sz w:val="20"/>
                <w:szCs w:val="20"/>
                <w:color w:val="auto"/>
              </w:rPr>
            </w:pPr>
            <w:r>
              <w:rPr>
                <w:rFonts w:ascii="Arial" w:cs="Arial" w:eastAsia="Arial" w:hAnsi="Arial"/>
                <w:sz w:val="23"/>
                <w:szCs w:val="23"/>
                <w:b w:val="1"/>
                <w:bCs w:val="1"/>
                <w:color w:val="009A4B"/>
              </w:rPr>
              <w:t>Independence</w:t>
            </w:r>
          </w:p>
        </w:tc>
        <w:tc>
          <w:tcPr>
            <w:tcW w:w="3720" w:type="dxa"/>
            <w:vAlign w:val="bottom"/>
            <w:tcBorders>
              <w:right w:val="single" w:sz="8" w:color="009A4B"/>
            </w:tcBorders>
          </w:tcPr>
          <w:p>
            <w:pPr>
              <w:ind w:left="340"/>
              <w:spacing w:after="0"/>
              <w:rPr>
                <w:sz w:val="20"/>
                <w:szCs w:val="20"/>
                <w:color w:val="auto"/>
              </w:rPr>
            </w:pPr>
            <w:r>
              <w:rPr>
                <w:rFonts w:ascii="Arial" w:cs="Arial" w:eastAsia="Arial" w:hAnsi="Arial"/>
                <w:sz w:val="23"/>
                <w:szCs w:val="23"/>
                <w:b w:val="1"/>
                <w:bCs w:val="1"/>
                <w:color w:val="009A4B"/>
              </w:rPr>
              <w:t>Diversity</w:t>
            </w:r>
          </w:p>
        </w:tc>
        <w:tc>
          <w:tcPr>
            <w:tcW w:w="3400" w:type="dxa"/>
            <w:vAlign w:val="bottom"/>
          </w:tcPr>
          <w:p>
            <w:pPr>
              <w:ind w:left="320"/>
              <w:spacing w:after="0"/>
              <w:rPr>
                <w:sz w:val="20"/>
                <w:szCs w:val="20"/>
                <w:color w:val="auto"/>
              </w:rPr>
            </w:pPr>
            <w:r>
              <w:rPr>
                <w:rFonts w:ascii="Arial" w:cs="Arial" w:eastAsia="Arial" w:hAnsi="Arial"/>
                <w:sz w:val="23"/>
                <w:szCs w:val="23"/>
                <w:b w:val="1"/>
                <w:bCs w:val="1"/>
                <w:color w:val="009A4B"/>
              </w:rPr>
              <w:t>Tenure</w:t>
            </w:r>
          </w:p>
        </w:tc>
      </w:tr>
      <w:tr>
        <w:trPr>
          <w:trHeight w:val="471"/>
        </w:trPr>
        <w:tc>
          <w:tcPr>
            <w:tcW w:w="3400" w:type="dxa"/>
            <w:vAlign w:val="bottom"/>
            <w:tcBorders>
              <w:right w:val="single" w:sz="8" w:color="009A4B"/>
            </w:tcBorders>
          </w:tcPr>
          <w:p>
            <w:pPr>
              <w:spacing w:after="0"/>
              <w:rPr>
                <w:sz w:val="20"/>
                <w:szCs w:val="20"/>
                <w:color w:val="auto"/>
              </w:rPr>
            </w:pPr>
            <w:r>
              <w:rPr>
                <w:rFonts w:ascii="Arial" w:cs="Arial" w:eastAsia="Arial" w:hAnsi="Arial"/>
                <w:sz w:val="35"/>
                <w:szCs w:val="35"/>
                <w:b w:val="1"/>
                <w:bCs w:val="1"/>
                <w:color w:val="009A4B"/>
              </w:rPr>
              <w:t>86%</w:t>
            </w:r>
          </w:p>
        </w:tc>
        <w:tc>
          <w:tcPr>
            <w:tcW w:w="3720" w:type="dxa"/>
            <w:vAlign w:val="bottom"/>
            <w:tcBorders>
              <w:right w:val="single" w:sz="8" w:color="009A4B"/>
            </w:tcBorders>
          </w:tcPr>
          <w:p>
            <w:pPr>
              <w:ind w:left="340"/>
              <w:spacing w:after="0"/>
              <w:rPr>
                <w:sz w:val="20"/>
                <w:szCs w:val="20"/>
                <w:color w:val="auto"/>
              </w:rPr>
            </w:pPr>
            <w:r>
              <w:rPr>
                <w:rFonts w:ascii="Arial" w:cs="Arial" w:eastAsia="Arial" w:hAnsi="Arial"/>
                <w:sz w:val="35"/>
                <w:szCs w:val="35"/>
                <w:b w:val="1"/>
                <w:bCs w:val="1"/>
                <w:color w:val="009A4B"/>
              </w:rPr>
              <w:t>43%</w:t>
            </w:r>
          </w:p>
        </w:tc>
        <w:tc>
          <w:tcPr>
            <w:tcW w:w="3400" w:type="dxa"/>
            <w:vAlign w:val="bottom"/>
          </w:tcPr>
          <w:p>
            <w:pPr>
              <w:ind w:left="320"/>
              <w:spacing w:after="0"/>
              <w:rPr>
                <w:sz w:val="20"/>
                <w:szCs w:val="20"/>
                <w:color w:val="auto"/>
              </w:rPr>
            </w:pPr>
            <w:r>
              <w:rPr>
                <w:rFonts w:ascii="Arial" w:cs="Arial" w:eastAsia="Arial" w:hAnsi="Arial"/>
                <w:sz w:val="35"/>
                <w:szCs w:val="35"/>
                <w:b w:val="1"/>
                <w:bCs w:val="1"/>
                <w:color w:val="009A4B"/>
              </w:rPr>
              <w:t>5.9 years</w:t>
            </w:r>
          </w:p>
        </w:tc>
      </w:tr>
      <w:tr>
        <w:trPr>
          <w:trHeight w:val="275"/>
        </w:trPr>
        <w:tc>
          <w:tcPr>
            <w:tcW w:w="3400" w:type="dxa"/>
            <w:vAlign w:val="bottom"/>
            <w:tcBorders>
              <w:right w:val="single" w:sz="8" w:color="009A4B"/>
            </w:tcBorders>
          </w:tcPr>
          <w:p>
            <w:pPr>
              <w:spacing w:after="0"/>
              <w:rPr>
                <w:sz w:val="20"/>
                <w:szCs w:val="20"/>
                <w:color w:val="auto"/>
              </w:rPr>
            </w:pPr>
            <w:r>
              <w:rPr>
                <w:rFonts w:ascii="Arial" w:cs="Arial" w:eastAsia="Arial" w:hAnsi="Arial"/>
                <w:sz w:val="16"/>
                <w:szCs w:val="16"/>
                <w:color w:val="auto"/>
              </w:rPr>
              <w:t>Independent</w:t>
            </w:r>
          </w:p>
        </w:tc>
        <w:tc>
          <w:tcPr>
            <w:tcW w:w="3720" w:type="dxa"/>
            <w:vAlign w:val="bottom"/>
            <w:tcBorders>
              <w:right w:val="single" w:sz="8" w:color="009A4B"/>
            </w:tcBorders>
          </w:tcPr>
          <w:p>
            <w:pPr>
              <w:ind w:left="340"/>
              <w:spacing w:after="0"/>
              <w:rPr>
                <w:sz w:val="20"/>
                <w:szCs w:val="20"/>
                <w:color w:val="auto"/>
              </w:rPr>
            </w:pPr>
            <w:r>
              <w:rPr>
                <w:rFonts w:ascii="Arial" w:cs="Arial" w:eastAsia="Arial" w:hAnsi="Arial"/>
                <w:sz w:val="16"/>
                <w:szCs w:val="16"/>
                <w:color w:val="auto"/>
              </w:rPr>
              <w:t>Diverse</w:t>
            </w:r>
          </w:p>
        </w:tc>
        <w:tc>
          <w:tcPr>
            <w:tcW w:w="3400" w:type="dxa"/>
            <w:vAlign w:val="bottom"/>
          </w:tcPr>
          <w:p>
            <w:pPr>
              <w:ind w:left="320"/>
              <w:spacing w:after="0"/>
              <w:rPr>
                <w:sz w:val="20"/>
                <w:szCs w:val="20"/>
                <w:color w:val="auto"/>
              </w:rPr>
            </w:pPr>
            <w:r>
              <w:rPr>
                <w:rFonts w:ascii="Arial" w:cs="Arial" w:eastAsia="Arial" w:hAnsi="Arial"/>
                <w:sz w:val="16"/>
                <w:szCs w:val="16"/>
                <w:color w:val="auto"/>
              </w:rPr>
              <w:t>Average Tenure</w:t>
            </w:r>
          </w:p>
        </w:tc>
      </w:tr>
      <w:tr>
        <w:trPr>
          <w:trHeight w:val="613"/>
        </w:trPr>
        <w:tc>
          <w:tcPr>
            <w:tcW w:w="3400" w:type="dxa"/>
            <w:vAlign w:val="bottom"/>
            <w:tcBorders>
              <w:right w:val="single" w:sz="8" w:color="009A4B"/>
            </w:tcBorders>
          </w:tcPr>
          <w:p>
            <w:pPr>
              <w:spacing w:after="0"/>
              <w:rPr>
                <w:sz w:val="20"/>
                <w:szCs w:val="20"/>
                <w:color w:val="auto"/>
              </w:rPr>
            </w:pPr>
            <w:r>
              <w:rPr>
                <w:rFonts w:ascii="Arial" w:cs="Arial" w:eastAsia="Arial" w:hAnsi="Arial"/>
                <w:sz w:val="16"/>
                <w:szCs w:val="16"/>
                <w:b w:val="1"/>
                <w:bCs w:val="1"/>
                <w:color w:val="009A4B"/>
              </w:rPr>
              <w:t xml:space="preserve">6 </w:t>
            </w:r>
            <w:r>
              <w:rPr>
                <w:rFonts w:ascii="Arial" w:cs="Arial" w:eastAsia="Arial" w:hAnsi="Arial"/>
                <w:sz w:val="16"/>
                <w:szCs w:val="16"/>
                <w:color w:val="000000"/>
              </w:rPr>
              <w:t>Independent</w:t>
            </w:r>
          </w:p>
        </w:tc>
        <w:tc>
          <w:tcPr>
            <w:tcW w:w="3720" w:type="dxa"/>
            <w:vAlign w:val="bottom"/>
            <w:tcBorders>
              <w:right w:val="single" w:sz="8" w:color="009A4B"/>
            </w:tcBorders>
          </w:tcPr>
          <w:p>
            <w:pPr>
              <w:ind w:left="340"/>
              <w:spacing w:after="0"/>
              <w:rPr>
                <w:sz w:val="20"/>
                <w:szCs w:val="20"/>
                <w:color w:val="auto"/>
              </w:rPr>
            </w:pPr>
            <w:r>
              <w:rPr>
                <w:rFonts w:ascii="Arial" w:cs="Arial" w:eastAsia="Arial" w:hAnsi="Arial"/>
                <w:sz w:val="16"/>
                <w:szCs w:val="16"/>
                <w:b w:val="1"/>
                <w:bCs w:val="1"/>
                <w:color w:val="009A4B"/>
              </w:rPr>
              <w:t xml:space="preserve">3 </w:t>
            </w:r>
            <w:r>
              <w:rPr>
                <w:rFonts w:ascii="Arial" w:cs="Arial" w:eastAsia="Arial" w:hAnsi="Arial"/>
                <w:sz w:val="16"/>
                <w:szCs w:val="16"/>
                <w:color w:val="000000"/>
              </w:rPr>
              <w:t>Diverse</w:t>
            </w:r>
          </w:p>
        </w:tc>
        <w:tc>
          <w:tcPr>
            <w:tcW w:w="3400" w:type="dxa"/>
            <w:vAlign w:val="bottom"/>
          </w:tcPr>
          <w:p>
            <w:pPr>
              <w:ind w:left="320"/>
              <w:spacing w:after="0"/>
              <w:rPr>
                <w:sz w:val="20"/>
                <w:szCs w:val="20"/>
                <w:color w:val="auto"/>
              </w:rPr>
            </w:pPr>
            <w:r>
              <w:rPr>
                <w:rFonts w:ascii="Arial" w:cs="Arial" w:eastAsia="Arial" w:hAnsi="Arial"/>
                <w:sz w:val="16"/>
                <w:szCs w:val="16"/>
                <w:b w:val="1"/>
                <w:bCs w:val="1"/>
                <w:color w:val="009A4B"/>
                <w:w w:val="98"/>
              </w:rPr>
              <w:t xml:space="preserve">5 </w:t>
            </w:r>
            <w:r>
              <w:rPr>
                <w:rFonts w:ascii="Arial" w:cs="Arial" w:eastAsia="Arial" w:hAnsi="Arial"/>
                <w:sz w:val="16"/>
                <w:szCs w:val="16"/>
                <w:color w:val="000000"/>
                <w:w w:val="98"/>
              </w:rPr>
              <w:t>Medium-Tenured Directors (6 to 10 years)</w:t>
            </w:r>
          </w:p>
        </w:tc>
      </w:tr>
      <w:tr>
        <w:trPr>
          <w:trHeight w:val="204"/>
        </w:trPr>
        <w:tc>
          <w:tcPr>
            <w:tcW w:w="3400" w:type="dxa"/>
            <w:vAlign w:val="bottom"/>
            <w:tcBorders>
              <w:right w:val="single" w:sz="8" w:color="009A4B"/>
            </w:tcBorders>
          </w:tcPr>
          <w:p>
            <w:pPr>
              <w:spacing w:after="0"/>
              <w:rPr>
                <w:sz w:val="20"/>
                <w:szCs w:val="20"/>
                <w:color w:val="auto"/>
              </w:rPr>
            </w:pPr>
            <w:r>
              <w:rPr>
                <w:rFonts w:ascii="Arial" w:cs="Arial" w:eastAsia="Arial" w:hAnsi="Arial"/>
                <w:sz w:val="16"/>
                <w:szCs w:val="16"/>
                <w:b w:val="1"/>
                <w:bCs w:val="1"/>
                <w:color w:val="009A4B"/>
              </w:rPr>
              <w:t xml:space="preserve">1 </w:t>
            </w:r>
            <w:r>
              <w:rPr>
                <w:rFonts w:ascii="Arial" w:cs="Arial" w:eastAsia="Arial" w:hAnsi="Arial"/>
                <w:sz w:val="16"/>
                <w:szCs w:val="16"/>
                <w:color w:val="000000"/>
              </w:rPr>
              <w:t>Not Independent</w:t>
            </w:r>
          </w:p>
        </w:tc>
        <w:tc>
          <w:tcPr>
            <w:tcW w:w="3720" w:type="dxa"/>
            <w:vAlign w:val="bottom"/>
            <w:tcBorders>
              <w:right w:val="single" w:sz="8" w:color="009A4B"/>
            </w:tcBorders>
          </w:tcPr>
          <w:p>
            <w:pPr>
              <w:ind w:left="340"/>
              <w:spacing w:after="0"/>
              <w:rPr>
                <w:sz w:val="20"/>
                <w:szCs w:val="20"/>
                <w:color w:val="auto"/>
              </w:rPr>
            </w:pPr>
            <w:r>
              <w:rPr>
                <w:rFonts w:ascii="Arial" w:cs="Arial" w:eastAsia="Arial" w:hAnsi="Arial"/>
                <w:sz w:val="16"/>
                <w:szCs w:val="16"/>
                <w:b w:val="1"/>
                <w:bCs w:val="1"/>
                <w:color w:val="009A4B"/>
              </w:rPr>
              <w:t xml:space="preserve">4 </w:t>
            </w:r>
            <w:r>
              <w:rPr>
                <w:rFonts w:ascii="Arial" w:cs="Arial" w:eastAsia="Arial" w:hAnsi="Arial"/>
                <w:sz w:val="16"/>
                <w:szCs w:val="16"/>
                <w:color w:val="000000"/>
              </w:rPr>
              <w:t>Other</w:t>
            </w:r>
          </w:p>
        </w:tc>
        <w:tc>
          <w:tcPr>
            <w:tcW w:w="3400" w:type="dxa"/>
            <w:vAlign w:val="bottom"/>
          </w:tcPr>
          <w:p>
            <w:pPr>
              <w:ind w:left="320"/>
              <w:spacing w:after="0"/>
              <w:rPr>
                <w:sz w:val="20"/>
                <w:szCs w:val="20"/>
                <w:color w:val="auto"/>
              </w:rPr>
            </w:pPr>
            <w:r>
              <w:rPr>
                <w:rFonts w:ascii="Arial" w:cs="Arial" w:eastAsia="Arial" w:hAnsi="Arial"/>
                <w:sz w:val="16"/>
                <w:szCs w:val="16"/>
                <w:b w:val="1"/>
                <w:bCs w:val="1"/>
                <w:color w:val="009A4B"/>
              </w:rPr>
              <w:t xml:space="preserve">2 </w:t>
            </w:r>
            <w:r>
              <w:rPr>
                <w:rFonts w:ascii="Arial" w:cs="Arial" w:eastAsia="Arial" w:hAnsi="Arial"/>
                <w:sz w:val="16"/>
                <w:szCs w:val="16"/>
                <w:color w:val="000000"/>
              </w:rPr>
              <w:t>Newer Directors (5 years or less)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-472440</wp:posOffset>
            </wp:positionV>
            <wp:extent cx="1166495" cy="135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166495" cy="135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-438785</wp:posOffset>
            </wp:positionV>
            <wp:extent cx="1132840" cy="135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132840" cy="135255"/>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-472440</wp:posOffset>
            </wp:positionV>
            <wp:extent cx="1149350" cy="135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149350" cy="135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28"/>
          <w:szCs w:val="28"/>
          <w:color w:val="009A4B"/>
        </w:rPr>
        <w:t>Director Qualifications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225"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36"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Board possesses a broad range of qualifications and skills that facilitate strong oversight of Air Products’ management and strategy. The following matrix identifies the primary skills that the Corporate Governance and Nominating Committee and the Board considered in connection with the re-nomination of seven incumbent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80645</wp:posOffset>
            </wp:positionV>
            <wp:extent cx="7146925" cy="44888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46925" cy="4488815"/>
                    </a:xfrm>
                    <a:prstGeom prst="rect">
                      <a:avLst/>
                    </a:prstGeom>
                    <a:noFill/>
                  </pic:spPr>
                </pic:pic>
              </a:graphicData>
            </a:graphic>
          </wp:anchor>
        </w:drawing>
      </w:r>
    </w:p>
    <w:p>
      <w:pPr>
        <w:spacing w:after="0" w:line="113" w:lineRule="exact"/>
        <w:rPr>
          <w:sz w:val="20"/>
          <w:szCs w:val="20"/>
          <w:color w:val="auto"/>
        </w:rPr>
      </w:pPr>
    </w:p>
    <w:p>
      <w:pPr>
        <w:ind w:left="5200"/>
        <w:spacing w:after="0"/>
        <w:tabs>
          <w:tab w:leader="none" w:pos="6100" w:val="left"/>
          <w:tab w:leader="none" w:pos="6900" w:val="left"/>
          <w:tab w:leader="none" w:pos="8000" w:val="left"/>
          <w:tab w:leader="none" w:pos="8740" w:val="left"/>
          <w:tab w:leader="none" w:pos="9720" w:val="left"/>
          <w:tab w:leader="none" w:pos="10580" w:val="left"/>
        </w:tabs>
        <w:rPr>
          <w:sz w:val="20"/>
          <w:szCs w:val="20"/>
          <w:color w:val="auto"/>
        </w:rPr>
      </w:pPr>
      <w:r>
        <w:rPr>
          <w:rFonts w:ascii="Arial" w:cs="Arial" w:eastAsia="Arial" w:hAnsi="Arial"/>
          <w:sz w:val="14"/>
          <w:szCs w:val="14"/>
          <w:b w:val="1"/>
          <w:bCs w:val="1"/>
          <w:color w:val="009A4B"/>
        </w:rPr>
        <w:t>Cogut</w:t>
      </w:r>
      <w:r>
        <w:rPr>
          <w:sz w:val="20"/>
          <w:szCs w:val="20"/>
          <w:color w:val="auto"/>
        </w:rPr>
        <w:tab/>
      </w:r>
      <w:r>
        <w:rPr>
          <w:rFonts w:ascii="Arial" w:cs="Arial" w:eastAsia="Arial" w:hAnsi="Arial"/>
          <w:sz w:val="14"/>
          <w:szCs w:val="14"/>
          <w:b w:val="1"/>
          <w:bCs w:val="1"/>
          <w:color w:val="009A4B"/>
        </w:rPr>
        <w:t>Davis</w:t>
      </w:r>
      <w:r>
        <w:rPr>
          <w:sz w:val="20"/>
          <w:szCs w:val="20"/>
          <w:color w:val="auto"/>
        </w:rPr>
        <w:tab/>
      </w:r>
      <w:r>
        <w:rPr>
          <w:rFonts w:ascii="Arial" w:cs="Arial" w:eastAsia="Arial" w:hAnsi="Arial"/>
          <w:sz w:val="14"/>
          <w:szCs w:val="14"/>
          <w:b w:val="1"/>
          <w:bCs w:val="1"/>
          <w:color w:val="009A4B"/>
        </w:rPr>
        <w:t>Ghasemi</w:t>
      </w:r>
      <w:r>
        <w:rPr>
          <w:sz w:val="20"/>
          <w:szCs w:val="20"/>
          <w:color w:val="auto"/>
        </w:rPr>
        <w:tab/>
      </w:r>
      <w:r>
        <w:rPr>
          <w:rFonts w:ascii="Arial" w:cs="Arial" w:eastAsia="Arial" w:hAnsi="Arial"/>
          <w:sz w:val="14"/>
          <w:szCs w:val="14"/>
          <w:b w:val="1"/>
          <w:bCs w:val="1"/>
          <w:color w:val="009A4B"/>
        </w:rPr>
        <w:t>Ho</w:t>
      </w:r>
      <w:r>
        <w:rPr>
          <w:sz w:val="20"/>
          <w:szCs w:val="20"/>
          <w:color w:val="auto"/>
        </w:rPr>
        <w:tab/>
      </w:r>
      <w:r>
        <w:rPr>
          <w:rFonts w:ascii="Arial" w:cs="Arial" w:eastAsia="Arial" w:hAnsi="Arial"/>
          <w:sz w:val="14"/>
          <w:szCs w:val="14"/>
          <w:b w:val="1"/>
          <w:bCs w:val="1"/>
          <w:color w:val="009A4B"/>
        </w:rPr>
        <w:t>Monser</w:t>
      </w:r>
      <w:r>
        <w:rPr>
          <w:sz w:val="20"/>
          <w:szCs w:val="20"/>
          <w:color w:val="auto"/>
        </w:rPr>
        <w:tab/>
      </w:r>
      <w:r>
        <w:rPr>
          <w:rFonts w:ascii="Arial" w:cs="Arial" w:eastAsia="Arial" w:hAnsi="Arial"/>
          <w:sz w:val="14"/>
          <w:szCs w:val="14"/>
          <w:b w:val="1"/>
          <w:bCs w:val="1"/>
          <w:color w:val="009A4B"/>
        </w:rPr>
        <w:t>Paull</w:t>
      </w:r>
      <w:r>
        <w:rPr>
          <w:sz w:val="20"/>
          <w:szCs w:val="20"/>
          <w:color w:val="auto"/>
        </w:rPr>
        <w:tab/>
      </w:r>
      <w:r>
        <w:rPr>
          <w:rFonts w:ascii="Arial" w:cs="Arial" w:eastAsia="Arial" w:hAnsi="Arial"/>
          <w:sz w:val="14"/>
          <w:szCs w:val="14"/>
          <w:b w:val="1"/>
          <w:bCs w:val="1"/>
          <w:color w:val="009A4B"/>
        </w:rPr>
        <w:t>Smith</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Accounting/Financial Reporting</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Corporate Governance</w:t>
      </w:r>
    </w:p>
    <w:p>
      <w:pPr>
        <w:spacing w:after="0" w:line="23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Diverse Director</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Executive Leadership</w:t>
      </w:r>
    </w:p>
    <w:p>
      <w:pPr>
        <w:spacing w:after="0" w:line="23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Finance and Capital Management</w:t>
      </w:r>
    </w:p>
    <w:p>
      <w:pPr>
        <w:spacing w:after="0" w:line="27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Government Relations</w:t>
      </w:r>
    </w:p>
    <w:p>
      <w:pPr>
        <w:spacing w:after="0" w:line="29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Industry/Operations</w:t>
      </w:r>
    </w:p>
    <w:p>
      <w:pPr>
        <w:spacing w:after="0" w:line="27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Information Technology</w:t>
      </w:r>
    </w:p>
    <w:p>
      <w:pPr>
        <w:spacing w:after="0" w:line="27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International Experience</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Investor Relations</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Large Industrial Projects</w:t>
      </w:r>
    </w:p>
    <w:p>
      <w:pPr>
        <w:spacing w:after="0" w:line="27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Legal Affairs</w:t>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Logistics Experience</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Mergers &amp; Acquisitions</w:t>
      </w:r>
    </w:p>
    <w:p>
      <w:pPr>
        <w:spacing w:after="0" w:line="30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Oil and Gas Experience</w:t>
      </w:r>
    </w:p>
    <w:p>
      <w:pPr>
        <w:spacing w:after="0" w:line="29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Technology</w:t>
      </w: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 The absence of a mark does not necessarily indicate that the director does not possess that qualification or skill.</w:t>
      </w:r>
    </w:p>
    <w:p>
      <w:pPr>
        <w:spacing w:after="0" w:line="114"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7155180" cy="209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28"/>
          <w:szCs w:val="28"/>
          <w:color w:val="009A4B"/>
        </w:rPr>
        <w:t>Director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225"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36"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Information follows about the age and business experience of the director nominees and the particular experience, qualifications, attributes and skills that led the Board to conclude that each nominee should continue to serve as a director. All of the nominees are currently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89535</wp:posOffset>
            </wp:positionV>
            <wp:extent cx="1284605" cy="280606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84605" cy="280606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009A4B"/>
        </w:rPr>
        <w:t>74</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b w:val="1"/>
          <w:bCs w:val="1"/>
          <w:color w:val="009A4B"/>
        </w:rPr>
        <w:t>2015</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009A4B"/>
        </w:rPr>
        <w:t>Committees</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Audit and Finance</w:t>
      </w:r>
    </w:p>
    <w:p>
      <w:pPr>
        <w:spacing w:after="0" w:line="202" w:lineRule="exact"/>
        <w:rPr>
          <w:sz w:val="20"/>
          <w:szCs w:val="20"/>
          <w:color w:val="auto"/>
        </w:rPr>
      </w:pPr>
    </w:p>
    <w:p>
      <w:pPr>
        <w:ind w:left="180" w:right="220"/>
        <w:spacing w:after="0" w:line="266" w:lineRule="auto"/>
        <w:rPr>
          <w:sz w:val="20"/>
          <w:szCs w:val="20"/>
          <w:color w:val="auto"/>
        </w:rPr>
      </w:pPr>
      <w:r>
        <w:rPr>
          <w:rFonts w:ascii="Arial" w:cs="Arial" w:eastAsia="Arial" w:hAnsi="Arial"/>
          <w:sz w:val="16"/>
          <w:szCs w:val="16"/>
          <w:color w:val="auto"/>
        </w:rPr>
        <w:t>Corporate Governance and Nominating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235585</wp:posOffset>
            </wp:positionV>
            <wp:extent cx="1284605" cy="33470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84605" cy="33470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23"/>
          <w:szCs w:val="23"/>
          <w:color w:val="009A4B"/>
        </w:rPr>
        <w:t xml:space="preserve">Charles I. Cogut </w:t>
      </w:r>
      <w:r>
        <w:rPr>
          <w:rFonts w:ascii="Arial" w:cs="Arial" w:eastAsia="Arial" w:hAnsi="Arial"/>
          <w:sz w:val="19"/>
          <w:szCs w:val="19"/>
          <w:b w:val="1"/>
          <w:bCs w:val="1"/>
          <w:color w:val="636467"/>
        </w:rPr>
        <w:t>Independent</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Retired Partner, Simpson Thacher &amp; Bartlett LLP</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009A4B"/>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573976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175" w:lineRule="exact"/>
        <w:rPr>
          <w:sz w:val="20"/>
          <w:szCs w:val="20"/>
          <w:color w:val="auto"/>
        </w:rPr>
      </w:pPr>
    </w:p>
    <w:p>
      <w:pPr>
        <w:jc w:val="both"/>
        <w:ind w:right="100"/>
        <w:spacing w:after="0" w:line="259" w:lineRule="auto"/>
        <w:rPr>
          <w:sz w:val="20"/>
          <w:szCs w:val="20"/>
          <w:color w:val="auto"/>
        </w:rPr>
      </w:pPr>
      <w:r>
        <w:rPr>
          <w:rFonts w:ascii="Arial" w:cs="Arial" w:eastAsia="Arial" w:hAnsi="Arial"/>
          <w:sz w:val="15"/>
          <w:szCs w:val="15"/>
          <w:color w:val="auto"/>
        </w:rPr>
        <w:t>Charles “Casey” I. Cogut is a retired partner of Simpson Thacher &amp; Bartlett LLP (“STB”). Mr. Cogut joined the New York-based law firm in 1973 and served as a partner of STB from 1980 to 2012 and as a Senior Mergers and Acquisitions Counsel at STB from 2013 to 2016. For many years he was a leading member of STB’s merger and acquisitions and private equity practices.</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He specialized in domestic, international and cross-border mergers and acquisitions, the representation of special committees of boards of directors, buyouts and other transactions involving private equity firms. In addition, he regularly advised boards of directors with respect to corporate governance matters and fiduciary responsibilities. From 1990 to 1993, he served as senior resident partner in the firm’s London office. Mr. Cogut received his J.D. in 1973 from the University of Pennsylvania Law School after graduating summa cum laude from Lehigh University in 1969. He is a member of the Board of Advisors of the University of Pennsylvania Carey Law School. He also is a director of The Williams Companies, Inc. and a Vice Chair of the Board of Trustees and a member of the Executive Committee of Cold Spring Harbor Laboratory. He was formerly a director of Patheon N.V.</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009A4B"/>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573976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175"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Mr. Cogut brings to the Board expertise in corporate governance and fiduciary responsibilities of directors. He also has extensive experience in multi-jurisdictional mergers and acquisitions and other complex transactions. He has been recognized as one of the leading corporate lawyers in the United States.</w:t>
      </w:r>
    </w:p>
    <w:p>
      <w:pPr>
        <w:spacing w:after="0" w:line="268" w:lineRule="exact"/>
        <w:rPr>
          <w:sz w:val="20"/>
          <w:szCs w:val="20"/>
          <w:color w:val="auto"/>
        </w:rPr>
      </w:pPr>
    </w:p>
    <w:p>
      <w:pPr>
        <w:sectPr>
          <w:pgSz w:w="11900" w:h="16838" w:orient="portrait"/>
          <w:cols w:equalWidth="0" w:num="2">
            <w:col w:w="1580" w:space="620"/>
            <w:col w:w="9000"/>
          </w:cols>
          <w:pgMar w:left="320" w:top="1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009A4B"/>
        </w:rPr>
        <w:t>58</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b w:val="1"/>
          <w:bCs w:val="1"/>
          <w:color w:val="009A4B"/>
        </w:rPr>
        <w:t>2020</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009A4B"/>
        </w:rPr>
        <w:t>Committees</w:t>
      </w:r>
    </w:p>
    <w:p>
      <w:pPr>
        <w:spacing w:after="0" w:line="22" w:lineRule="exact"/>
        <w:rPr>
          <w:sz w:val="20"/>
          <w:szCs w:val="20"/>
          <w:color w:val="auto"/>
        </w:rPr>
      </w:pPr>
    </w:p>
    <w:p>
      <w:pPr>
        <w:ind w:left="180" w:right="220"/>
        <w:spacing w:after="0" w:line="266" w:lineRule="auto"/>
        <w:rPr>
          <w:sz w:val="20"/>
          <w:szCs w:val="20"/>
          <w:color w:val="auto"/>
        </w:rPr>
      </w:pPr>
      <w:r>
        <w:rPr>
          <w:rFonts w:ascii="Arial" w:cs="Arial" w:eastAsia="Arial" w:hAnsi="Arial"/>
          <w:sz w:val="16"/>
          <w:szCs w:val="16"/>
          <w:color w:val="auto"/>
        </w:rPr>
        <w:t>Corporate Governance and Nominating</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Executive</w:t>
      </w:r>
    </w:p>
    <w:p>
      <w:pPr>
        <w:spacing w:after="0" w:line="202" w:lineRule="exact"/>
        <w:rPr>
          <w:sz w:val="20"/>
          <w:szCs w:val="20"/>
          <w:color w:val="auto"/>
        </w:rPr>
      </w:pPr>
    </w:p>
    <w:p>
      <w:pPr>
        <w:ind w:left="180" w:right="140"/>
        <w:spacing w:after="0" w:line="246" w:lineRule="auto"/>
        <w:rPr>
          <w:sz w:val="20"/>
          <w:szCs w:val="20"/>
          <w:color w:val="auto"/>
        </w:rPr>
      </w:pPr>
      <w:r>
        <w:rPr>
          <w:rFonts w:ascii="Arial" w:cs="Arial" w:eastAsia="Arial" w:hAnsi="Arial"/>
          <w:sz w:val="16"/>
          <w:szCs w:val="16"/>
          <w:color w:val="auto"/>
        </w:rPr>
        <w:t>Management Development and Compensation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145415</wp:posOffset>
            </wp:positionV>
            <wp:extent cx="845185" cy="20256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45185" cy="20256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23"/>
          <w:szCs w:val="23"/>
          <w:color w:val="009A4B"/>
        </w:rPr>
        <w:t xml:space="preserve">Lisa A. Davis </w:t>
      </w:r>
      <w:r>
        <w:rPr>
          <w:rFonts w:ascii="Arial" w:cs="Arial" w:eastAsia="Arial" w:hAnsi="Arial"/>
          <w:sz w:val="19"/>
          <w:szCs w:val="19"/>
          <w:b w:val="1"/>
          <w:bCs w:val="1"/>
          <w:color w:val="636467"/>
        </w:rPr>
        <w:t>Independent</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Former Member of the Managing Board and CEO of Gas and Power for Siemens AG</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009A4B"/>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573976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175" w:lineRule="exact"/>
        <w:rPr>
          <w:sz w:val="20"/>
          <w:szCs w:val="20"/>
          <w:color w:val="auto"/>
        </w:rPr>
      </w:pPr>
    </w:p>
    <w:p>
      <w:pPr>
        <w:ind w:right="140"/>
        <w:spacing w:after="0" w:line="245" w:lineRule="auto"/>
        <w:rPr>
          <w:sz w:val="20"/>
          <w:szCs w:val="20"/>
          <w:color w:val="auto"/>
        </w:rPr>
      </w:pPr>
      <w:r>
        <w:rPr>
          <w:rFonts w:ascii="Arial" w:cs="Arial" w:eastAsia="Arial" w:hAnsi="Arial"/>
          <w:sz w:val="16"/>
          <w:szCs w:val="16"/>
          <w:color w:val="auto"/>
        </w:rPr>
        <w:t>Lisa A. Davis served from August 2014 to February 2020 as a member of the Managing Board for Siemens AG with responsibility as CEO for Siemens Gas and Power, which included Power Generation, Power Services, Oil and Gas, Transmission and New Fuels, and operated in over 80 countries. During her tenure at Siemens, she also served as Chair and Chief Executive Officer of Siemens Corporation USA and as a member of the Board of Directors of Siemens Gamesa Renewable Energy SA.</w:t>
      </w:r>
    </w:p>
    <w:p>
      <w:pPr>
        <w:spacing w:after="0" w:line="152" w:lineRule="exact"/>
        <w:rPr>
          <w:sz w:val="20"/>
          <w:szCs w:val="20"/>
          <w:color w:val="auto"/>
        </w:rPr>
      </w:pPr>
    </w:p>
    <w:p>
      <w:pPr>
        <w:ind w:right="120"/>
        <w:spacing w:after="0" w:line="245" w:lineRule="auto"/>
        <w:rPr>
          <w:sz w:val="20"/>
          <w:szCs w:val="20"/>
          <w:color w:val="auto"/>
        </w:rPr>
      </w:pPr>
      <w:r>
        <w:rPr>
          <w:rFonts w:ascii="Arial" w:cs="Arial" w:eastAsia="Arial" w:hAnsi="Arial"/>
          <w:sz w:val="16"/>
          <w:szCs w:val="16"/>
          <w:color w:val="auto"/>
        </w:rPr>
        <w:t>From 2012 to August 2014, Ms. Davis served as Executive Vice President, Strategy, Portfolio &amp; Alternative Energy of Royal Dutch Shell, UK. Prior to that, Ms. Davis served in various capacities and leadership positions with Royal Dutch Shell, Texaco USA and Exxon Corporation in upstream and downstream operations and project development. Ms. Davis currently serves on the Board of Directors of Penske Automotive Group, Inc., Kosmos Energy Ltd. and Phillips 66. Ms. Davis holds a Bachelor of Science degree in Chemical Engineering from the University of California, Berkeley.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009A4B"/>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573976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175" w:lineRule="exact"/>
        <w:rPr>
          <w:sz w:val="20"/>
          <w:szCs w:val="20"/>
          <w:color w:val="auto"/>
        </w:rPr>
      </w:pPr>
    </w:p>
    <w:p>
      <w:pPr>
        <w:ind w:right="140"/>
        <w:spacing w:after="0" w:line="246" w:lineRule="auto"/>
        <w:rPr>
          <w:sz w:val="20"/>
          <w:szCs w:val="20"/>
          <w:color w:val="auto"/>
        </w:rPr>
      </w:pPr>
      <w:r>
        <w:rPr>
          <w:rFonts w:ascii="Arial" w:cs="Arial" w:eastAsia="Arial" w:hAnsi="Arial"/>
          <w:sz w:val="16"/>
          <w:szCs w:val="16"/>
          <w:color w:val="auto"/>
        </w:rPr>
        <w:t>Ms. Davis has significant experience leading large, multi-faceted international businesses. She also has extensive experience leading teams in developing world-scale energy and environmental projects as well as experience with public company board service in the U.S. and Europe. Ms. Davis will provide the Board with a solid understanding of these types of projects, which represent an important and growing portion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971550</wp:posOffset>
            </wp:positionV>
            <wp:extent cx="7155180" cy="209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2">
            <w:col w:w="1580" w:space="620"/>
            <w:col w:w="9000"/>
          </w:cols>
          <w:pgMar w:left="320" w:top="140" w:right="37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1284605" cy="34740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84605" cy="347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009A4B"/>
        </w:rPr>
        <w:t>77</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b w:val="1"/>
          <w:bCs w:val="1"/>
          <w:color w:val="009A4B"/>
        </w:rPr>
        <w:t>2013</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009A4B"/>
        </w:rPr>
        <w:t>Committees</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Executive (Chair)</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rPr>
          <w:sz w:val="20"/>
          <w:szCs w:val="20"/>
          <w:color w:val="auto"/>
        </w:rPr>
      </w:pPr>
      <w:r>
        <w:rPr>
          <w:rFonts w:ascii="Arial" w:cs="Arial" w:eastAsia="Arial" w:hAnsi="Arial"/>
          <w:sz w:val="23"/>
          <w:szCs w:val="23"/>
          <w:color w:val="009A4B"/>
        </w:rPr>
        <w:t>Seifollah (“Seifi”) Ghasemi</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Chairman, President and Chief Executive Officer of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009A4B"/>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573976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175"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Seifi Ghasemi became Chairman, President and Chief Executive Officer of the Company in July 2014. In this role, he is focused on setting the strategy and policies of the Company, developing leadership and meeting shareholder commitments. Mr. Ghasemi is a member of The Business Council, an association of the chief executive officers of the world’s most important business enterprises. In 2020, he was appointed to the Board of Directors of the US-India Strategic Partnership Forum. In 2019 he was elected to the Board of Directors of the US-China Business Council. Mr. Ghasemi also was the recipient of the 2017 biennial International Palladium Medal from the Société de Chimie Industrielle for his distinguished contributions to the chemical industry. Prior to joining Air Products, from 2001 to 2014, Mr. Ghasemi served as Chairman and Chief Executive Officer of Rockwood Holdings, Inc., a global leader in lithium and advanced materials. From 1997 to 2001, he held leadership roles at GKN, a global industrial company, including positions as director of the Main Board of GKN, plc and Chairman and Chief Executive Officer of GKN Sinter Metals, Inc. and Hoeganes Corporation. Earlier in his career, Mr. Ghasemi spent nearly 20 years with The BOC Group in positions including director of the Main Board of BOC Group, plc, President of BOC Gases Americas and Chairman and Chief Executive Officer of BOC Process Plants, Ltd. and Cryostar. He served as non-executive Chairman of Versum Materials, Inc. until its acquisition by Merck KGaA in October 2019. Mr. Ghasemi earned his undergraduate degree from Abadan Institute of Technology and holds an M.S. degree in mechanical engineering from Stanford University. He also was awarded an honorary Doctor of Science degree from Lafayette College in 2017 and an honorary Doctor of Engineering degree from Stevens Institute of Technology in 2018.</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009A4B"/>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573976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175" w:lineRule="exact"/>
        <w:rPr>
          <w:sz w:val="20"/>
          <w:szCs w:val="20"/>
          <w:color w:val="auto"/>
        </w:rPr>
      </w:pPr>
    </w:p>
    <w:p>
      <w:pPr>
        <w:ind w:right="120"/>
        <w:spacing w:after="0" w:line="266" w:lineRule="auto"/>
        <w:rPr>
          <w:sz w:val="20"/>
          <w:szCs w:val="20"/>
          <w:color w:val="auto"/>
        </w:rPr>
      </w:pPr>
      <w:r>
        <w:rPr>
          <w:rFonts w:ascii="Arial" w:cs="Arial" w:eastAsia="Arial" w:hAnsi="Arial"/>
          <w:sz w:val="15"/>
          <w:szCs w:val="15"/>
          <w:color w:val="auto"/>
        </w:rPr>
        <w:t>Mr. Ghasemi brings to the Board strong leadership and extensive management and operating experience, including deep experience in the industrial gases and specialty chemicals industries, and a solid understanding of key end markets for the Company. His prior executive leadership of an international chemical company also provides substantial experience in governance and portfolio management, strategic planning, talent management and international operations. He provides the Board with candid insights into the Company’s industry, operations, management team and strategic opportunities and threats.</w:t>
      </w:r>
    </w:p>
    <w:p>
      <w:pPr>
        <w:spacing w:after="0" w:line="10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90170</wp:posOffset>
            </wp:positionV>
            <wp:extent cx="7155180" cy="209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2">
            <w:col w:w="1580" w:space="620"/>
            <w:col w:w="90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1284605" cy="288226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84605" cy="288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009A4B"/>
        </w:rPr>
        <w:t>62</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b w:val="1"/>
          <w:bCs w:val="1"/>
          <w:color w:val="009A4B"/>
        </w:rPr>
        <w:t>2013</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009A4B"/>
        </w:rPr>
        <w:t>Committees</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Audit and Finance</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Management</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Development and</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321310</wp:posOffset>
            </wp:positionV>
            <wp:extent cx="1284605" cy="409130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84605" cy="409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009A4B"/>
        </w:rPr>
        <w:t>71</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b w:val="1"/>
          <w:bCs w:val="1"/>
          <w:color w:val="009A4B"/>
        </w:rPr>
        <w:t>2013</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009A4B"/>
        </w:rPr>
        <w:t>Committees</w:t>
      </w:r>
    </w:p>
    <w:p>
      <w:pPr>
        <w:spacing w:after="0" w:line="89" w:lineRule="exact"/>
        <w:rPr>
          <w:sz w:val="20"/>
          <w:szCs w:val="20"/>
          <w:color w:val="auto"/>
        </w:rPr>
      </w:pPr>
    </w:p>
    <w:p>
      <w:pPr>
        <w:ind w:left="180" w:right="200"/>
        <w:spacing w:after="0" w:line="276" w:lineRule="auto"/>
        <w:rPr>
          <w:sz w:val="20"/>
          <w:szCs w:val="20"/>
          <w:color w:val="auto"/>
        </w:rPr>
      </w:pPr>
      <w:r>
        <w:rPr>
          <w:rFonts w:ascii="Arial" w:cs="Arial" w:eastAsia="Arial" w:hAnsi="Arial"/>
          <w:sz w:val="15"/>
          <w:szCs w:val="15"/>
          <w:color w:val="auto"/>
        </w:rPr>
        <w:t>Corporate Governance and Nominating (Mr. Monser will become Chair of the Committee effective at the conclusion of the Annual Meeting)</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Executive</w:t>
      </w:r>
    </w:p>
    <w:p>
      <w:pPr>
        <w:spacing w:after="0" w:line="202" w:lineRule="exact"/>
        <w:rPr>
          <w:sz w:val="20"/>
          <w:szCs w:val="20"/>
          <w:color w:val="auto"/>
        </w:rPr>
      </w:pPr>
    </w:p>
    <w:p>
      <w:pPr>
        <w:ind w:left="180" w:right="140"/>
        <w:spacing w:after="0" w:line="266" w:lineRule="auto"/>
        <w:rPr>
          <w:sz w:val="20"/>
          <w:szCs w:val="20"/>
          <w:color w:val="auto"/>
        </w:rPr>
      </w:pPr>
      <w:r>
        <w:rPr>
          <w:rFonts w:ascii="Arial" w:cs="Arial" w:eastAsia="Arial" w:hAnsi="Arial"/>
          <w:sz w:val="16"/>
          <w:szCs w:val="16"/>
          <w:color w:val="auto"/>
        </w:rPr>
        <w:t>Management Development and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201930</wp:posOffset>
            </wp:positionV>
            <wp:extent cx="845185" cy="20256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45185" cy="202565"/>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rPr>
          <w:sz w:val="20"/>
          <w:szCs w:val="20"/>
          <w:color w:val="auto"/>
        </w:rPr>
      </w:pPr>
      <w:r>
        <w:rPr>
          <w:rFonts w:ascii="Arial" w:cs="Arial" w:eastAsia="Arial" w:hAnsi="Arial"/>
          <w:sz w:val="23"/>
          <w:szCs w:val="23"/>
          <w:color w:val="009A4B"/>
        </w:rPr>
        <w:t xml:space="preserve">David H.Y. Ho </w:t>
      </w:r>
      <w:r>
        <w:rPr>
          <w:rFonts w:ascii="Arial" w:cs="Arial" w:eastAsia="Arial" w:hAnsi="Arial"/>
          <w:sz w:val="19"/>
          <w:szCs w:val="19"/>
          <w:b w:val="1"/>
          <w:bCs w:val="1"/>
          <w:color w:val="636467"/>
        </w:rPr>
        <w:t>Independent</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Chairman and Founder of Kiina Investment Ltd.</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009A4B"/>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573976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175"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David H.Y. Ho is Chairman and Founder of Kiina Investment Ltd., a venture capital firm that invests in start-up companies in the technology, media and telecommunications industries. Mr. Ho previously served as Chairman of Greater China for Nokia Siemens Networks, President of Greater China for Nokia Corporation and Senior Vice President of the Nokia Networks Business Group. He has also held senior leadership roles with Nortel Networks and Motorola in China and Canada. Mr. Ho currently serves as a member of the board of directors of Qorvo, Inc. and Sun Life Financial. He also serves as a member of the board of directors of a state-owned enterprise in China, China COSCO Shipping Corporation, and is on the board of directors of DBS Bank Hong Kong Limited, the Hong Kong subsidiary of DBS Group Holdings. Mr. Ho previously served as a director of nVent Electric plc, Pentair plc and Triquent Semiconductor, Inc. prior to its merger with R. F. Micro Devices to form Qorvo, Inc. He also served as a director of China Ocean Shipping Company prior to its merger with China Shipping Group. Mr. Ho also previously served as a director of China Mobile Communications Corporation, Dong Fang Electric Corporation and Owens Illinois, Inc. He holds a Bachelor’s degree in Engineering and a Master’s degree in Management Sciences from the University of Waterloo in Canada.</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009A4B"/>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573976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175"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Mr. Ho has extensive experience establishing and building businesses in China and in international joint venture operations, government relations and Asian operations and marketing. His background brings significant value to the Company as we execute on our Asian strategy. He also has executive leadership experience in the electronics and technology industries, which are key customer segments for the Company.</w:t>
      </w:r>
    </w:p>
    <w:p>
      <w:pPr>
        <w:spacing w:after="0" w:line="233" w:lineRule="exact"/>
        <w:rPr>
          <w:sz w:val="20"/>
          <w:szCs w:val="20"/>
          <w:color w:val="auto"/>
        </w:rPr>
      </w:pPr>
    </w:p>
    <w:p>
      <w:pPr>
        <w:spacing w:after="0"/>
        <w:rPr>
          <w:sz w:val="20"/>
          <w:szCs w:val="20"/>
          <w:color w:val="auto"/>
        </w:rPr>
      </w:pPr>
      <w:r>
        <w:rPr>
          <w:rFonts w:ascii="Arial" w:cs="Arial" w:eastAsia="Arial" w:hAnsi="Arial"/>
          <w:sz w:val="23"/>
          <w:szCs w:val="23"/>
          <w:color w:val="009A4B"/>
        </w:rPr>
        <w:t xml:space="preserve">Edward L. Monser </w:t>
      </w:r>
      <w:r>
        <w:rPr>
          <w:rFonts w:ascii="Arial" w:cs="Arial" w:eastAsia="Arial" w:hAnsi="Arial"/>
          <w:sz w:val="19"/>
          <w:szCs w:val="19"/>
          <w:b w:val="1"/>
          <w:bCs w:val="1"/>
          <w:color w:val="636467"/>
        </w:rPr>
        <w:t>Independent, Lead Director</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Retired President and Chief Operating Officer of Emerson Electric Co.</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009A4B"/>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573976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175"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Edward L. Monser was the President of Emerson Electric Co., a global industrial controls products company, from 2010 until his retirement in 2018. At the time of his retirement, Mr. Monser had more than 30 years of experience in senior operational positions at Emerson and played key roles in globalizing the company, having held increasingly senior positions, including Chief Operating Officer from 2001 to 2015 and President of its Rosemount Inc. subsidiary from 1996 to 2001 as well as holding various operations, new product development, engineering and technology positions. Mr. Monser currently serves as a director of Vertiv, a private company that provides equipment and services for datacenters, and Canadian Pacific Railway Ltd. He was Vice Chairman of the U.S.-India Strategic Partnership Forum and a member of the Economic Development Board for China’s Guangdong Province and a former director and Vice Chairman of the U.S.-China Business Council. He holds a Bachelor’s degree in Electrical Engineering from the Illinois Institute of Technology and a Bachelor’s degree in Education from Eastern Michigan University.</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009A4B"/>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573976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189"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As former president and chief operating officer of a premier global industrial organization, Mr. Monser provides the Board with a solid understanding of industrial operations, supply chain optimization and continuous improvement, extensive experience in international business operations, particularly in emerging markets, and a demonstrated capability in strategic planning and organizational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1808480</wp:posOffset>
            </wp:positionV>
            <wp:extent cx="7155180" cy="209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2">
            <w:col w:w="1580" w:space="620"/>
            <w:col w:w="90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1284605" cy="32207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84605" cy="3220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009A4B"/>
        </w:rPr>
        <w:t>70</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b w:val="1"/>
          <w:bCs w:val="1"/>
          <w:color w:val="009A4B"/>
        </w:rPr>
        <w:t>2013</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009A4B"/>
        </w:rPr>
        <w:t>Committees</w:t>
      </w:r>
    </w:p>
    <w:p>
      <w:pPr>
        <w:spacing w:after="0" w:line="89" w:lineRule="exact"/>
        <w:rPr>
          <w:sz w:val="20"/>
          <w:szCs w:val="20"/>
          <w:color w:val="auto"/>
        </w:rPr>
      </w:pPr>
    </w:p>
    <w:p>
      <w:pPr>
        <w:ind w:left="180" w:right="100"/>
        <w:spacing w:after="0" w:line="271" w:lineRule="auto"/>
        <w:rPr>
          <w:sz w:val="20"/>
          <w:szCs w:val="20"/>
          <w:color w:val="auto"/>
        </w:rPr>
      </w:pPr>
      <w:r>
        <w:rPr>
          <w:rFonts w:ascii="Arial" w:cs="Arial" w:eastAsia="Arial" w:hAnsi="Arial"/>
          <w:sz w:val="16"/>
          <w:szCs w:val="16"/>
          <w:color w:val="auto"/>
        </w:rPr>
        <w:t>Audit and Finance (Chair)</w:t>
      </w:r>
    </w:p>
    <w:p>
      <w:pPr>
        <w:spacing w:after="0" w:line="170" w:lineRule="exact"/>
        <w:rPr>
          <w:sz w:val="20"/>
          <w:szCs w:val="20"/>
          <w:color w:val="auto"/>
        </w:rPr>
      </w:pPr>
    </w:p>
    <w:p>
      <w:pPr>
        <w:ind w:left="180" w:right="220"/>
        <w:spacing w:after="0" w:line="266" w:lineRule="auto"/>
        <w:rPr>
          <w:sz w:val="20"/>
          <w:szCs w:val="20"/>
          <w:color w:val="auto"/>
        </w:rPr>
      </w:pPr>
      <w:r>
        <w:rPr>
          <w:rFonts w:ascii="Arial" w:cs="Arial" w:eastAsia="Arial" w:hAnsi="Arial"/>
          <w:sz w:val="16"/>
          <w:szCs w:val="16"/>
          <w:color w:val="auto"/>
        </w:rPr>
        <w:t>Corporate Governance and Nominating</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279400</wp:posOffset>
            </wp:positionV>
            <wp:extent cx="1284605" cy="283146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84605" cy="283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009A4B"/>
        </w:rPr>
        <w:t>61</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b w:val="1"/>
          <w:bCs w:val="1"/>
          <w:color w:val="009A4B"/>
        </w:rPr>
        <w:t>2021</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009A4B"/>
        </w:rPr>
        <w:t>Committees</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Audit and Finance</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Management</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Development and</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Compensation</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rPr>
          <w:sz w:val="20"/>
          <w:szCs w:val="20"/>
          <w:color w:val="auto"/>
        </w:rPr>
      </w:pPr>
      <w:r>
        <w:rPr>
          <w:rFonts w:ascii="Arial" w:cs="Arial" w:eastAsia="Arial" w:hAnsi="Arial"/>
          <w:sz w:val="23"/>
          <w:szCs w:val="23"/>
          <w:color w:val="009A4B"/>
        </w:rPr>
        <w:t xml:space="preserve">Matthew H. Paull </w:t>
      </w:r>
      <w:r>
        <w:rPr>
          <w:rFonts w:ascii="Arial" w:cs="Arial" w:eastAsia="Arial" w:hAnsi="Arial"/>
          <w:sz w:val="19"/>
          <w:szCs w:val="19"/>
          <w:b w:val="1"/>
          <w:bCs w:val="1"/>
          <w:color w:val="404040"/>
        </w:rPr>
        <w:t>Independent</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Retired Senior Executive Vice President and Chief Financial Officer of McDonald’s Corporation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009A4B"/>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573976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175"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Matthew H. Paull was Senior Executive Vice President and Chief Financial Officer of McDonald’s Corporation from 2001 until he retired from that position in 2008. Prior to joining McDonald’s in 1993, he was a partner at Ernst &amp; Young where he managed a variety of financial practices during his 18-year career and consulted with many leading multinational corporations. Mr. Paull currently serves as a director of Canadian Pacific Railway Ltd. He was formerly a director of Chipotle Mexican Grill Inc., KapStone Paper and Packaging Corporation, WMS Industries Inc. and the lead director of Best Buy Co. He is a member of the Advisory Board of Pershing Square Capital Management, L.P. He also served as an advisory council member for the Federal Reserve Bank of Chicago. He holds a Master’s degree in Accounting and a Bachelor’s degree from the University of Illinois. He is a Certified Public Accountant.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009A4B"/>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573976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189"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Mr. Paull brings to the Board significant financial expertise with a deep understanding of financial markets, corporate finance, accounting and controls and investor relations. As a former chief financial officer of a multinational corporation, he also has extensive experience in international operations and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3"/>
          <w:szCs w:val="23"/>
          <w:color w:val="009A4B"/>
        </w:rPr>
        <w:t xml:space="preserve">Wayne T. Smith </w:t>
      </w:r>
      <w:r>
        <w:rPr>
          <w:rFonts w:ascii="Arial" w:cs="Arial" w:eastAsia="Arial" w:hAnsi="Arial"/>
          <w:sz w:val="19"/>
          <w:szCs w:val="19"/>
          <w:b w:val="1"/>
          <w:bCs w:val="1"/>
          <w:color w:val="404040"/>
        </w:rPr>
        <w:t>Independent</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Retired Chairman and Chief Executive Officer of BASF Corporation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009A4B"/>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573976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175"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Wayne T. Smith is the retired Chairman and Chief Executive Officer of BASF Corporation. Mr. Smith served in this role from May 2015 through May 2021 and served as a member of the Board of Management Directors of the parent company, BASF SE, from 2012 through May 2021. Prior to his tenure at BASF, which began in 2004, Mr. Smith was vice president and general manager of Specialty Construction Chemicals at W.R. Grace and Company, where he led the strategy development, growth and profitability of that unit worldwide. Before joining W.R. Grace, Mr. Smith served in positions of increasing responsibility with The BOC Group, culminating as vice president and general manager of the company’s Packaged Products business. He is a former director of Inter Pipeline. Mr. Smith holds a Bachelor of Science degree in Chemical Engineering from Syracuse University and a Master’s in Business Administration from the Wharton School of the University of Pennsylvania.</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009A4B"/>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573976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739765" cy="8255"/>
                    </a:xfrm>
                    <a:prstGeom prst="rect">
                      <a:avLst/>
                    </a:prstGeom>
                    <a:noFill/>
                  </pic:spPr>
                </pic:pic>
              </a:graphicData>
            </a:graphic>
          </wp:anchor>
        </w:drawing>
      </w:r>
    </w:p>
    <w:p>
      <w:pPr>
        <w:spacing w:after="0" w:line="189"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auto"/>
        </w:rPr>
        <w:t>Mr. Smith brings decades of general management experience in the chemicals and industrial manufacturing sectors, including extensive industrial gases leadership and operational experience, to the Air Products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90170</wp:posOffset>
            </wp:positionV>
            <wp:extent cx="7155180" cy="209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2">
            <w:col w:w="1580" w:space="620"/>
            <w:col w:w="90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28"/>
          <w:szCs w:val="28"/>
          <w:color w:val="009A4B"/>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225"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161290</wp:posOffset>
            </wp:positionV>
            <wp:extent cx="7100570" cy="8197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00570" cy="819785"/>
                    </a:xfrm>
                    <a:prstGeom prst="rect">
                      <a:avLst/>
                    </a:prstGeom>
                    <a:noFill/>
                  </pic:spPr>
                </pic:pic>
              </a:graphicData>
            </a:graphic>
          </wp:anchor>
        </w:drawing>
      </w:r>
    </w:p>
    <w:p>
      <w:pPr>
        <w:spacing w:after="0" w:line="329" w:lineRule="exact"/>
        <w:rPr>
          <w:sz w:val="20"/>
          <w:szCs w:val="20"/>
          <w:color w:val="auto"/>
        </w:rPr>
      </w:pPr>
    </w:p>
    <w:p>
      <w:pPr>
        <w:ind w:left="100" w:right="160"/>
        <w:spacing w:after="0" w:line="245" w:lineRule="auto"/>
        <w:rPr>
          <w:sz w:val="20"/>
          <w:szCs w:val="20"/>
          <w:color w:val="auto"/>
        </w:rPr>
      </w:pPr>
      <w:r>
        <w:rPr>
          <w:rFonts w:ascii="Arial" w:cs="Arial" w:eastAsia="Arial" w:hAnsi="Arial"/>
          <w:sz w:val="16"/>
          <w:szCs w:val="16"/>
          <w:color w:val="auto"/>
        </w:rPr>
        <w:t>The Board has affirmatively determined that all of the Company’s directors, except Mr. Ghasemi, qualify as independent under New York Stock Exchange (“NYSE”) corporate governance listing standards. In determining independence, the Board determines whether directors have a material relationship with the Company that would interfere with the exercise of independent judgment in carrying out the responsibilities of directors. When assessing materiality, the Board considers all relevant facts and circumstances, including transactions between the Company and the director, family members of directors and organizations with which the director is affiliated. The Board further considers the frequency of and dollar amounts associated with these transactions and whether the transactions were in the ordinary course of business and were consummated on terms and conditions similar to those with unrelated parties.</w:t>
      </w:r>
    </w:p>
    <w:p>
      <w:pPr>
        <w:spacing w:after="0" w:line="231"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In making its independence determination, the Board considers the specific tests for independence included in the NYSE listing standards. In addition, the Company’s Corporate Governance Guidelines (the “Guidelines”) provide standards to assist in determining each director’s independence that meet or exceed the NYSE independence requirements. The Guidelines provide that the following categories of relationships are immaterial for purposes of making an independence determination:</w:t>
      </w:r>
    </w:p>
    <w:p>
      <w:pPr>
        <w:spacing w:after="0" w:line="151" w:lineRule="exact"/>
        <w:rPr>
          <w:sz w:val="20"/>
          <w:szCs w:val="20"/>
          <w:color w:val="auto"/>
        </w:rPr>
      </w:pPr>
    </w:p>
    <w:p>
      <w:pPr>
        <w:ind w:left="400" w:right="160" w:hanging="207"/>
        <w:spacing w:after="0" w:line="246" w:lineRule="auto"/>
        <w:tabs>
          <w:tab w:leader="none" w:pos="400" w:val="left"/>
        </w:tabs>
        <w:numPr>
          <w:ilvl w:val="0"/>
          <w:numId w:val="16"/>
        </w:numPr>
        <w:rPr>
          <w:rFonts w:ascii="Arial" w:cs="Arial" w:eastAsia="Arial" w:hAnsi="Arial"/>
          <w:sz w:val="16"/>
          <w:szCs w:val="16"/>
          <w:color w:val="009A4B"/>
        </w:rPr>
      </w:pPr>
      <w:r>
        <w:rPr>
          <w:rFonts w:ascii="Arial" w:cs="Arial" w:eastAsia="Arial" w:hAnsi="Arial"/>
          <w:sz w:val="16"/>
          <w:szCs w:val="16"/>
          <w:color w:val="auto"/>
        </w:rPr>
        <w:t>sales or purchases of goods or services between the Company and a director’s employer or an employer of a director’s family member, which occurred more than three years prior to the independence determination or involved less than 1% of such employer’s annual consolidated gross revenues, took place on the same terms and conditions offered to third parties or on terms and conditions established by competitive bid and that did not affect the director’s or family member’s compensation;</w:t>
      </w:r>
    </w:p>
    <w:p>
      <w:pPr>
        <w:spacing w:after="0" w:line="97" w:lineRule="exact"/>
        <w:rPr>
          <w:rFonts w:ascii="Arial" w:cs="Arial" w:eastAsia="Arial" w:hAnsi="Arial"/>
          <w:sz w:val="16"/>
          <w:szCs w:val="16"/>
          <w:color w:val="009A4B"/>
        </w:rPr>
      </w:pPr>
    </w:p>
    <w:p>
      <w:pPr>
        <w:ind w:left="400" w:right="180" w:hanging="207"/>
        <w:spacing w:after="0" w:line="248" w:lineRule="auto"/>
        <w:tabs>
          <w:tab w:leader="none" w:pos="400" w:val="left"/>
        </w:tabs>
        <w:numPr>
          <w:ilvl w:val="0"/>
          <w:numId w:val="16"/>
        </w:numPr>
        <w:rPr>
          <w:rFonts w:ascii="Arial" w:cs="Arial" w:eastAsia="Arial" w:hAnsi="Arial"/>
          <w:sz w:val="16"/>
          <w:szCs w:val="16"/>
          <w:color w:val="009A4B"/>
        </w:rPr>
      </w:pPr>
      <w:r>
        <w:rPr>
          <w:rFonts w:ascii="Arial" w:cs="Arial" w:eastAsia="Arial" w:hAnsi="Arial"/>
          <w:sz w:val="16"/>
          <w:szCs w:val="16"/>
          <w:color w:val="auto"/>
        </w:rPr>
        <w:t>charitable contributions by the Company to an organization for which the director or his or her immediate family member serves as an executive officer, director or trustee that occurred more than three years prior to the independence determination, were made pursuant to the Air Products Foundation’s matching contributions program or were less than the greater of $1 million or 2% of the organization’s gross revenues;</w:t>
      </w:r>
    </w:p>
    <w:p>
      <w:pPr>
        <w:spacing w:after="0" w:line="95" w:lineRule="exact"/>
        <w:rPr>
          <w:rFonts w:ascii="Arial" w:cs="Arial" w:eastAsia="Arial" w:hAnsi="Arial"/>
          <w:sz w:val="16"/>
          <w:szCs w:val="16"/>
          <w:color w:val="009A4B"/>
        </w:rPr>
      </w:pPr>
    </w:p>
    <w:p>
      <w:pPr>
        <w:ind w:left="400" w:hanging="207"/>
        <w:spacing w:after="0"/>
        <w:tabs>
          <w:tab w:leader="none" w:pos="400" w:val="left"/>
        </w:tabs>
        <w:numPr>
          <w:ilvl w:val="0"/>
          <w:numId w:val="16"/>
        </w:numPr>
        <w:rPr>
          <w:rFonts w:ascii="Arial" w:cs="Arial" w:eastAsia="Arial" w:hAnsi="Arial"/>
          <w:sz w:val="16"/>
          <w:szCs w:val="16"/>
          <w:color w:val="009A4B"/>
        </w:rPr>
      </w:pPr>
      <w:r>
        <w:rPr>
          <w:rFonts w:ascii="Arial" w:cs="Arial" w:eastAsia="Arial" w:hAnsi="Arial"/>
          <w:sz w:val="16"/>
          <w:szCs w:val="16"/>
          <w:color w:val="auto"/>
        </w:rPr>
        <w:t>membership of a director in the same professional association, social, fraternal or religious organization or club as an executive officer of the Company;</w:t>
      </w:r>
    </w:p>
    <w:p>
      <w:pPr>
        <w:spacing w:after="0" w:line="122" w:lineRule="exact"/>
        <w:rPr>
          <w:rFonts w:ascii="Arial" w:cs="Arial" w:eastAsia="Arial" w:hAnsi="Arial"/>
          <w:sz w:val="16"/>
          <w:szCs w:val="16"/>
          <w:color w:val="009A4B"/>
        </w:rPr>
      </w:pPr>
    </w:p>
    <w:p>
      <w:pPr>
        <w:ind w:left="400" w:hanging="207"/>
        <w:spacing w:after="0"/>
        <w:tabs>
          <w:tab w:leader="none" w:pos="400" w:val="left"/>
        </w:tabs>
        <w:numPr>
          <w:ilvl w:val="0"/>
          <w:numId w:val="16"/>
        </w:numPr>
        <w:rPr>
          <w:rFonts w:ascii="Arial" w:cs="Arial" w:eastAsia="Arial" w:hAnsi="Arial"/>
          <w:sz w:val="16"/>
          <w:szCs w:val="16"/>
          <w:color w:val="009A4B"/>
        </w:rPr>
      </w:pPr>
      <w:r>
        <w:rPr>
          <w:rFonts w:ascii="Arial" w:cs="Arial" w:eastAsia="Arial" w:hAnsi="Arial"/>
          <w:sz w:val="16"/>
          <w:szCs w:val="16"/>
          <w:color w:val="auto"/>
        </w:rPr>
        <w:t>a director’s past matriculation at the same educational institution as an executive officer of the Company;</w:t>
      </w:r>
    </w:p>
    <w:p>
      <w:pPr>
        <w:spacing w:after="0" w:line="122" w:lineRule="exact"/>
        <w:rPr>
          <w:rFonts w:ascii="Arial" w:cs="Arial" w:eastAsia="Arial" w:hAnsi="Arial"/>
          <w:sz w:val="16"/>
          <w:szCs w:val="16"/>
          <w:color w:val="009A4B"/>
        </w:rPr>
      </w:pPr>
    </w:p>
    <w:p>
      <w:pPr>
        <w:ind w:left="400" w:right="200" w:hanging="207"/>
        <w:spacing w:after="0" w:line="254" w:lineRule="auto"/>
        <w:tabs>
          <w:tab w:leader="none" w:pos="400" w:val="left"/>
        </w:tabs>
        <w:numPr>
          <w:ilvl w:val="0"/>
          <w:numId w:val="16"/>
        </w:numPr>
        <w:rPr>
          <w:rFonts w:ascii="Arial" w:cs="Arial" w:eastAsia="Arial" w:hAnsi="Arial"/>
          <w:sz w:val="16"/>
          <w:szCs w:val="16"/>
          <w:color w:val="009A4B"/>
        </w:rPr>
      </w:pPr>
      <w:r>
        <w:rPr>
          <w:rFonts w:ascii="Arial" w:cs="Arial" w:eastAsia="Arial" w:hAnsi="Arial"/>
          <w:sz w:val="16"/>
          <w:szCs w:val="16"/>
          <w:color w:val="auto"/>
        </w:rPr>
        <w:t>a director’s service on the board of directors of another public company for which an executive officer of the Company also serves as a director, except for prohibited compensation committee interlocks; and</w:t>
      </w:r>
    </w:p>
    <w:p>
      <w:pPr>
        <w:spacing w:after="0" w:line="89" w:lineRule="exact"/>
        <w:rPr>
          <w:rFonts w:ascii="Arial" w:cs="Arial" w:eastAsia="Arial" w:hAnsi="Arial"/>
          <w:sz w:val="16"/>
          <w:szCs w:val="16"/>
          <w:color w:val="009A4B"/>
        </w:rPr>
      </w:pPr>
    </w:p>
    <w:p>
      <w:pPr>
        <w:ind w:left="400" w:hanging="207"/>
        <w:spacing w:after="0" w:line="254" w:lineRule="auto"/>
        <w:tabs>
          <w:tab w:leader="none" w:pos="400" w:val="left"/>
        </w:tabs>
        <w:numPr>
          <w:ilvl w:val="0"/>
          <w:numId w:val="16"/>
        </w:numPr>
        <w:rPr>
          <w:rFonts w:ascii="Arial" w:cs="Arial" w:eastAsia="Arial" w:hAnsi="Arial"/>
          <w:sz w:val="16"/>
          <w:szCs w:val="16"/>
          <w:color w:val="009A4B"/>
        </w:rPr>
      </w:pPr>
      <w:r>
        <w:rPr>
          <w:rFonts w:ascii="Arial" w:cs="Arial" w:eastAsia="Arial" w:hAnsi="Arial"/>
          <w:sz w:val="16"/>
          <w:szCs w:val="16"/>
          <w:color w:val="auto"/>
        </w:rPr>
        <w:t>a director’s service as a director, trustee or executive officer of a charitable or educational organization for which an executive officer of the Company also serves as a director or trustee.</w:t>
      </w:r>
    </w:p>
    <w:p>
      <w:pPr>
        <w:spacing w:after="0" w:line="143"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In accordance with NYSE listing standards, in affirmatively determining the independence of any director who will serve on the Management Development and Compensation Committee, the Board also specifically considers factors relevant to determining whether a director has a relationship to the Company that is material to that director’s ability to be independent from management in making judgments about the Company’s executive compensation, including sources of the director’s compensation and relationships of the director to the Company or senior management.</w:t>
      </w:r>
    </w:p>
    <w:p>
      <w:pPr>
        <w:spacing w:after="0" w:line="151" w:lineRule="exact"/>
        <w:rPr>
          <w:sz w:val="20"/>
          <w:szCs w:val="20"/>
          <w:color w:val="auto"/>
        </w:rPr>
      </w:pPr>
    </w:p>
    <w:p>
      <w:pPr>
        <w:ind w:right="480"/>
        <w:spacing w:after="0" w:line="248" w:lineRule="auto"/>
        <w:rPr>
          <w:sz w:val="20"/>
          <w:szCs w:val="20"/>
          <w:color w:val="auto"/>
        </w:rPr>
      </w:pPr>
      <w:r>
        <w:rPr>
          <w:rFonts w:ascii="Arial" w:cs="Arial" w:eastAsia="Arial" w:hAnsi="Arial"/>
          <w:sz w:val="16"/>
          <w:szCs w:val="16"/>
          <w:color w:val="auto"/>
        </w:rPr>
        <w:t>In addition, the Guidelines provide that no director may serve on the Audit and Finance Committee or Management Development and Compensation Committee if he or she has received within the past or preceding fiscal year any compensatory fee from the Company other than for Board or committee service; and no director may serve on the Management Development and Compensation Committee.</w:t>
      </w:r>
    </w:p>
    <w:p>
      <w:pPr>
        <w:spacing w:after="0" w:line="148"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On an annual basis, each member of the Board is required to complete a questionnaire designed in part to provide information to assist the Board in determining whether the director is independent under NYSE rules and the Guidelines. In addition, each director or potential director has an affirmative duty to disclose to the Corporate Governance and Nominating Committee any relationship he or she has (or any of his or her immediate family members have) with the Company or the executive officers of the Company.</w:t>
      </w:r>
    </w:p>
    <w:p>
      <w:pPr>
        <w:spacing w:after="0" w:line="151"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The Corporate Governance and Nominating Committee reviews director relationships and transactions for compliance with the standards described above and makes a recommendation to the Board, which makes the independence determination. For those directors identified as independent, the Company and the Board are aware of no relationships or transactions with the Company or management that would interfere with the exercise of independent judgment in carrying out the responsibilities of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94615</wp:posOffset>
            </wp:positionV>
            <wp:extent cx="845185" cy="20256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45185" cy="20256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7155180" cy="209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Board has established the following minimum qualifications for all non-management directors: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2800" w:type="dxa"/>
            <w:vAlign w:val="bottom"/>
            <w:shd w:val="clear" w:color="auto" w:fill="E7E7E7"/>
          </w:tcPr>
          <w:p>
            <w:pPr>
              <w:ind w:left="360"/>
              <w:spacing w:after="0"/>
              <w:rPr>
                <w:sz w:val="20"/>
                <w:szCs w:val="20"/>
                <w:color w:val="auto"/>
              </w:rPr>
            </w:pPr>
            <w:r>
              <w:rPr>
                <w:rFonts w:ascii="Arial" w:cs="Arial" w:eastAsia="Arial" w:hAnsi="Arial"/>
                <w:sz w:val="16"/>
                <w:szCs w:val="16"/>
                <w:color w:val="auto"/>
              </w:rPr>
              <w:t>Business experience</w:t>
            </w:r>
          </w:p>
        </w:tc>
        <w:tc>
          <w:tcPr>
            <w:tcW w:w="4720" w:type="dxa"/>
            <w:vAlign w:val="bottom"/>
            <w:shd w:val="clear" w:color="auto" w:fill="E7E7E7"/>
          </w:tcPr>
          <w:p>
            <w:pPr>
              <w:ind w:left="1020"/>
              <w:spacing w:after="0"/>
              <w:rPr>
                <w:sz w:val="20"/>
                <w:szCs w:val="20"/>
                <w:color w:val="auto"/>
              </w:rPr>
            </w:pPr>
            <w:r>
              <w:rPr>
                <w:rFonts w:ascii="Arial" w:cs="Arial" w:eastAsia="Arial" w:hAnsi="Arial"/>
                <w:sz w:val="16"/>
                <w:szCs w:val="16"/>
                <w:color w:val="auto"/>
              </w:rPr>
              <w:t>Integrity</w:t>
            </w:r>
          </w:p>
        </w:tc>
        <w:tc>
          <w:tcPr>
            <w:tcW w:w="3720" w:type="dxa"/>
            <w:vAlign w:val="bottom"/>
            <w:shd w:val="clear" w:color="auto" w:fill="E7E7E7"/>
          </w:tcPr>
          <w:p>
            <w:pPr>
              <w:ind w:left="380"/>
              <w:spacing w:after="0"/>
              <w:rPr>
                <w:sz w:val="20"/>
                <w:szCs w:val="20"/>
                <w:color w:val="auto"/>
              </w:rPr>
            </w:pPr>
            <w:r>
              <w:rPr>
                <w:rFonts w:ascii="Arial" w:cs="Arial" w:eastAsia="Arial" w:hAnsi="Arial"/>
                <w:sz w:val="16"/>
                <w:szCs w:val="16"/>
                <w:color w:val="auto"/>
              </w:rPr>
              <w:t>Absence of any potential conflicts with the</w:t>
            </w:r>
          </w:p>
        </w:tc>
        <w:tc>
          <w:tcPr>
            <w:tcW w:w="0" w:type="dxa"/>
            <w:vAlign w:val="bottom"/>
          </w:tcPr>
          <w:p>
            <w:pPr>
              <w:spacing w:after="0"/>
              <w:rPr>
                <w:sz w:val="1"/>
                <w:szCs w:val="1"/>
                <w:color w:val="auto"/>
              </w:rPr>
            </w:pPr>
          </w:p>
        </w:tc>
      </w:tr>
      <w:tr>
        <w:trPr>
          <w:trHeight w:val="193"/>
        </w:trPr>
        <w:tc>
          <w:tcPr>
            <w:tcW w:w="2800" w:type="dxa"/>
            <w:vAlign w:val="bottom"/>
            <w:vMerge w:val="restart"/>
            <w:shd w:val="clear" w:color="auto" w:fill="E7E7E7"/>
          </w:tcPr>
          <w:p>
            <w:pPr>
              <w:ind w:left="360"/>
              <w:spacing w:after="0"/>
              <w:rPr>
                <w:sz w:val="20"/>
                <w:szCs w:val="20"/>
                <w:color w:val="auto"/>
              </w:rPr>
            </w:pPr>
            <w:r>
              <w:rPr>
                <w:rFonts w:ascii="Arial" w:cs="Arial" w:eastAsia="Arial" w:hAnsi="Arial"/>
                <w:sz w:val="16"/>
                <w:szCs w:val="16"/>
                <w:color w:val="auto"/>
              </w:rPr>
              <w:t>Judgment</w:t>
            </w:r>
          </w:p>
        </w:tc>
        <w:tc>
          <w:tcPr>
            <w:tcW w:w="4720" w:type="dxa"/>
            <w:vAlign w:val="bottom"/>
            <w:vMerge w:val="restart"/>
            <w:shd w:val="clear" w:color="auto" w:fill="E7E7E7"/>
          </w:tcPr>
          <w:p>
            <w:pPr>
              <w:ind w:left="1000"/>
              <w:spacing w:after="0"/>
              <w:rPr>
                <w:sz w:val="20"/>
                <w:szCs w:val="20"/>
                <w:color w:val="auto"/>
              </w:rPr>
            </w:pPr>
            <w:r>
              <w:rPr>
                <w:rFonts w:ascii="Arial" w:cs="Arial" w:eastAsia="Arial" w:hAnsi="Arial"/>
                <w:sz w:val="16"/>
                <w:szCs w:val="16"/>
                <w:color w:val="auto"/>
              </w:rPr>
              <w:t>Ability to commit sufficient time and attention to</w:t>
            </w:r>
          </w:p>
        </w:tc>
        <w:tc>
          <w:tcPr>
            <w:tcW w:w="3720" w:type="dxa"/>
            <w:vAlign w:val="bottom"/>
            <w:shd w:val="clear" w:color="auto" w:fill="E7E7E7"/>
          </w:tcPr>
          <w:p>
            <w:pPr>
              <w:ind w:left="380"/>
              <w:spacing w:after="0"/>
              <w:rPr>
                <w:sz w:val="20"/>
                <w:szCs w:val="20"/>
                <w:color w:val="auto"/>
              </w:rPr>
            </w:pPr>
            <w:r>
              <w:rPr>
                <w:rFonts w:ascii="Arial" w:cs="Arial" w:eastAsia="Arial" w:hAnsi="Arial"/>
                <w:sz w:val="16"/>
                <w:szCs w:val="16"/>
                <w:color w:val="auto"/>
              </w:rPr>
              <w:t>Company’s interests</w:t>
            </w:r>
          </w:p>
        </w:tc>
        <w:tc>
          <w:tcPr>
            <w:tcW w:w="0" w:type="dxa"/>
            <w:vAlign w:val="bottom"/>
          </w:tcPr>
          <w:p>
            <w:pPr>
              <w:spacing w:after="0"/>
              <w:rPr>
                <w:sz w:val="1"/>
                <w:szCs w:val="1"/>
                <w:color w:val="auto"/>
              </w:rPr>
            </w:pPr>
          </w:p>
        </w:tc>
      </w:tr>
      <w:tr>
        <w:trPr>
          <w:trHeight w:val="100"/>
        </w:trPr>
        <w:tc>
          <w:tcPr>
            <w:tcW w:w="2800" w:type="dxa"/>
            <w:vAlign w:val="bottom"/>
            <w:vMerge w:val="continue"/>
            <w:shd w:val="clear" w:color="auto" w:fill="E7E7E7"/>
          </w:tcPr>
          <w:p>
            <w:pPr>
              <w:spacing w:after="0"/>
              <w:rPr>
                <w:sz w:val="8"/>
                <w:szCs w:val="8"/>
                <w:color w:val="auto"/>
              </w:rPr>
            </w:pPr>
          </w:p>
        </w:tc>
        <w:tc>
          <w:tcPr>
            <w:tcW w:w="4720" w:type="dxa"/>
            <w:vAlign w:val="bottom"/>
            <w:vMerge w:val="continue"/>
            <w:shd w:val="clear" w:color="auto" w:fill="E7E7E7"/>
          </w:tcPr>
          <w:p>
            <w:pPr>
              <w:spacing w:after="0"/>
              <w:rPr>
                <w:sz w:val="8"/>
                <w:szCs w:val="8"/>
                <w:color w:val="auto"/>
              </w:rPr>
            </w:pPr>
          </w:p>
        </w:tc>
        <w:tc>
          <w:tcPr>
            <w:tcW w:w="3720" w:type="dxa"/>
            <w:vAlign w:val="bottom"/>
            <w:shd w:val="clear" w:color="auto" w:fill="E7E7E7"/>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2800" w:type="dxa"/>
            <w:vAlign w:val="bottom"/>
            <w:vMerge w:val="restart"/>
            <w:shd w:val="clear" w:color="auto" w:fill="E7E7E7"/>
          </w:tcPr>
          <w:p>
            <w:pPr>
              <w:ind w:left="360"/>
              <w:spacing w:after="0"/>
              <w:rPr>
                <w:sz w:val="20"/>
                <w:szCs w:val="20"/>
                <w:color w:val="auto"/>
              </w:rPr>
            </w:pPr>
            <w:r>
              <w:rPr>
                <w:rFonts w:ascii="Arial" w:cs="Arial" w:eastAsia="Arial" w:hAnsi="Arial"/>
                <w:sz w:val="16"/>
                <w:szCs w:val="16"/>
                <w:color w:val="auto"/>
              </w:rPr>
              <w:t>Independence</w:t>
            </w:r>
          </w:p>
        </w:tc>
        <w:tc>
          <w:tcPr>
            <w:tcW w:w="4720" w:type="dxa"/>
            <w:vAlign w:val="bottom"/>
            <w:shd w:val="clear" w:color="auto" w:fill="E7E7E7"/>
          </w:tcPr>
          <w:p>
            <w:pPr>
              <w:ind w:left="980"/>
              <w:spacing w:after="0"/>
              <w:rPr>
                <w:sz w:val="20"/>
                <w:szCs w:val="20"/>
                <w:color w:val="auto"/>
              </w:rPr>
            </w:pPr>
            <w:r>
              <w:rPr>
                <w:rFonts w:ascii="Arial" w:cs="Arial" w:eastAsia="Arial" w:hAnsi="Arial"/>
                <w:sz w:val="16"/>
                <w:szCs w:val="16"/>
                <w:color w:val="auto"/>
              </w:rPr>
              <w:t>the activities of the Board</w:t>
            </w:r>
          </w:p>
        </w:tc>
        <w:tc>
          <w:tcPr>
            <w:tcW w:w="3720" w:type="dxa"/>
            <w:vAlign w:val="bottom"/>
            <w:shd w:val="clear" w:color="auto" w:fill="E7E7E7"/>
          </w:tcPr>
          <w:p>
            <w:pPr>
              <w:ind w:left="380"/>
              <w:spacing w:after="0"/>
              <w:rPr>
                <w:sz w:val="20"/>
                <w:szCs w:val="20"/>
                <w:color w:val="auto"/>
              </w:rPr>
            </w:pPr>
            <w:r>
              <w:rPr>
                <w:rFonts w:ascii="Arial" w:cs="Arial" w:eastAsia="Arial" w:hAnsi="Arial"/>
                <w:sz w:val="16"/>
                <w:szCs w:val="16"/>
                <w:color w:val="auto"/>
              </w:rPr>
              <w:t>An ability to represent the interests of all</w:t>
            </w:r>
          </w:p>
        </w:tc>
        <w:tc>
          <w:tcPr>
            <w:tcW w:w="0" w:type="dxa"/>
            <w:vAlign w:val="bottom"/>
          </w:tcPr>
          <w:p>
            <w:pPr>
              <w:spacing w:after="0"/>
              <w:rPr>
                <w:sz w:val="1"/>
                <w:szCs w:val="1"/>
                <w:color w:val="auto"/>
              </w:rPr>
            </w:pPr>
          </w:p>
        </w:tc>
      </w:tr>
      <w:tr>
        <w:trPr>
          <w:trHeight w:val="113"/>
        </w:trPr>
        <w:tc>
          <w:tcPr>
            <w:tcW w:w="2800" w:type="dxa"/>
            <w:vAlign w:val="bottom"/>
            <w:vMerge w:val="continue"/>
            <w:shd w:val="clear" w:color="auto" w:fill="E7E7E7"/>
          </w:tcPr>
          <w:p>
            <w:pPr>
              <w:spacing w:after="0"/>
              <w:rPr>
                <w:sz w:val="9"/>
                <w:szCs w:val="9"/>
                <w:color w:val="auto"/>
              </w:rPr>
            </w:pPr>
          </w:p>
        </w:tc>
        <w:tc>
          <w:tcPr>
            <w:tcW w:w="4720" w:type="dxa"/>
            <w:vAlign w:val="bottom"/>
            <w:shd w:val="clear" w:color="auto" w:fill="E7E7E7"/>
          </w:tcPr>
          <w:p>
            <w:pPr>
              <w:spacing w:after="0"/>
              <w:rPr>
                <w:sz w:val="9"/>
                <w:szCs w:val="9"/>
                <w:color w:val="auto"/>
              </w:rPr>
            </w:pPr>
          </w:p>
        </w:tc>
        <w:tc>
          <w:tcPr>
            <w:tcW w:w="3720" w:type="dxa"/>
            <w:vAlign w:val="bottom"/>
            <w:vMerge w:val="restart"/>
            <w:shd w:val="clear" w:color="auto" w:fill="E7E7E7"/>
          </w:tcPr>
          <w:p>
            <w:pPr>
              <w:ind w:left="380"/>
              <w:spacing w:after="0"/>
              <w:rPr>
                <w:sz w:val="20"/>
                <w:szCs w:val="20"/>
                <w:color w:val="auto"/>
              </w:rPr>
            </w:pPr>
            <w:r>
              <w:rPr>
                <w:rFonts w:ascii="Arial" w:cs="Arial" w:eastAsia="Arial" w:hAnsi="Arial"/>
                <w:sz w:val="16"/>
                <w:szCs w:val="16"/>
                <w:color w:val="auto"/>
              </w:rPr>
              <w:t>shareholders</w:t>
            </w:r>
          </w:p>
        </w:tc>
        <w:tc>
          <w:tcPr>
            <w:tcW w:w="0" w:type="dxa"/>
            <w:vAlign w:val="bottom"/>
          </w:tcPr>
          <w:p>
            <w:pPr>
              <w:spacing w:after="0"/>
              <w:rPr>
                <w:sz w:val="1"/>
                <w:szCs w:val="1"/>
                <w:color w:val="auto"/>
              </w:rPr>
            </w:pPr>
          </w:p>
        </w:tc>
      </w:tr>
      <w:tr>
        <w:trPr>
          <w:trHeight w:val="80"/>
        </w:trPr>
        <w:tc>
          <w:tcPr>
            <w:tcW w:w="2800" w:type="dxa"/>
            <w:vAlign w:val="bottom"/>
            <w:shd w:val="clear" w:color="auto" w:fill="E7E7E7"/>
          </w:tcPr>
          <w:p>
            <w:pPr>
              <w:spacing w:after="0"/>
              <w:rPr>
                <w:sz w:val="6"/>
                <w:szCs w:val="6"/>
                <w:color w:val="auto"/>
              </w:rPr>
            </w:pPr>
          </w:p>
        </w:tc>
        <w:tc>
          <w:tcPr>
            <w:tcW w:w="4720" w:type="dxa"/>
            <w:vAlign w:val="bottom"/>
            <w:shd w:val="clear" w:color="auto" w:fill="E7E7E7"/>
          </w:tcPr>
          <w:p>
            <w:pPr>
              <w:spacing w:after="0"/>
              <w:rPr>
                <w:sz w:val="6"/>
                <w:szCs w:val="6"/>
                <w:color w:val="auto"/>
              </w:rPr>
            </w:pPr>
          </w:p>
        </w:tc>
        <w:tc>
          <w:tcPr>
            <w:tcW w:w="3720" w:type="dxa"/>
            <w:vAlign w:val="bottom"/>
            <w:vMerge w:val="continue"/>
            <w:shd w:val="clear" w:color="auto" w:fill="E7E7E7"/>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800" w:type="dxa"/>
            <w:vAlign w:val="bottom"/>
            <w:shd w:val="clear" w:color="auto" w:fill="E7E7E7"/>
          </w:tcPr>
          <w:p>
            <w:pPr>
              <w:spacing w:after="0"/>
              <w:rPr>
                <w:sz w:val="8"/>
                <w:szCs w:val="8"/>
                <w:color w:val="auto"/>
              </w:rPr>
            </w:pPr>
          </w:p>
        </w:tc>
        <w:tc>
          <w:tcPr>
            <w:tcW w:w="4720" w:type="dxa"/>
            <w:vAlign w:val="bottom"/>
            <w:shd w:val="clear" w:color="auto" w:fill="E7E7E7"/>
          </w:tcPr>
          <w:p>
            <w:pPr>
              <w:spacing w:after="0"/>
              <w:rPr>
                <w:sz w:val="8"/>
                <w:szCs w:val="8"/>
                <w:color w:val="auto"/>
              </w:rPr>
            </w:pPr>
          </w:p>
        </w:tc>
        <w:tc>
          <w:tcPr>
            <w:tcW w:w="3720" w:type="dxa"/>
            <w:vAlign w:val="bottom"/>
            <w:shd w:val="clear" w:color="auto" w:fill="E7E7E7"/>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-607695</wp:posOffset>
            </wp:positionV>
            <wp:extent cx="127000" cy="9271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0" cy="92710"/>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-422275</wp:posOffset>
            </wp:positionV>
            <wp:extent cx="127000" cy="9271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0" cy="92710"/>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-236220</wp:posOffset>
            </wp:positionV>
            <wp:extent cx="127000" cy="9271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0" cy="92710"/>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-607695</wp:posOffset>
            </wp:positionV>
            <wp:extent cx="127000" cy="9271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0" cy="92710"/>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-422275</wp:posOffset>
            </wp:positionV>
            <wp:extent cx="127000" cy="9271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0" cy="92710"/>
                    </a:xfrm>
                    <a:prstGeom prst="rect">
                      <a:avLst/>
                    </a:prstGeom>
                    <a:noFill/>
                  </pic:spPr>
                </pic:pic>
              </a:graphicData>
            </a:graphic>
          </wp:anchor>
        </w:drawing>
        <w:drawing>
          <wp:anchor simplePos="0" relativeHeight="251657728" behindDoc="1" locked="0" layoutInCell="0" allowOverlap="1">
            <wp:simplePos x="0" y="0"/>
            <wp:positionH relativeFrom="column">
              <wp:posOffset>4830445</wp:posOffset>
            </wp:positionH>
            <wp:positionV relativeFrom="paragraph">
              <wp:posOffset>-607695</wp:posOffset>
            </wp:positionV>
            <wp:extent cx="127000" cy="9271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0" cy="92710"/>
                    </a:xfrm>
                    <a:prstGeom prst="rect">
                      <a:avLst/>
                    </a:prstGeom>
                    <a:noFill/>
                  </pic:spPr>
                </pic:pic>
              </a:graphicData>
            </a:graphic>
          </wp:anchor>
        </w:drawing>
        <w:drawing>
          <wp:anchor simplePos="0" relativeHeight="251657728" behindDoc="1" locked="0" layoutInCell="0" allowOverlap="1">
            <wp:simplePos x="0" y="0"/>
            <wp:positionH relativeFrom="column">
              <wp:posOffset>4830445</wp:posOffset>
            </wp:positionH>
            <wp:positionV relativeFrom="paragraph">
              <wp:posOffset>-303530</wp:posOffset>
            </wp:positionV>
            <wp:extent cx="127000" cy="9271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0" cy="92710"/>
                    </a:xfrm>
                    <a:prstGeom prst="rect">
                      <a:avLst/>
                    </a:prstGeom>
                    <a:noFill/>
                  </pic:spPr>
                </pic:pic>
              </a:graphicData>
            </a:graphic>
          </wp:anchor>
        </w:drawing>
      </w:r>
    </w:p>
    <w:p>
      <w:pPr>
        <w:spacing w:after="0" w:line="142"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auto"/>
        </w:rPr>
        <w:t>While the Board has not adopted a formal policy on diversity, the Guidelines provide that, as a whole, the Board should include individuals committed to the highest ethical standards who have a diverse range of skills, competencies, backgrounds and experiences to give the Board depth and breadth in the mix of skills represented. The Board seeks to include an array of skills, perspectives and experience in its overall composition. This mandate is implemented by seeking to identify candidates that bring diverse skill sets, backgrounds and experiences, including gender, racial, ethnic and geographic diversity, to the Board when director candidates are needed. The Corporate Governance and Nominating Committee is committed to actively seeking highly qualified women and minorities to include in the pool from which director nominees are selected and requires that diverse candidates be included in its initial director search lists.</w:t>
      </w:r>
    </w:p>
    <w:p>
      <w:pPr>
        <w:spacing w:after="0" w:line="187" w:lineRule="exact"/>
        <w:rPr>
          <w:sz w:val="20"/>
          <w:szCs w:val="20"/>
          <w:color w:val="auto"/>
        </w:rPr>
      </w:pPr>
    </w:p>
    <w:p>
      <w:pPr>
        <w:spacing w:after="0"/>
        <w:rPr>
          <w:sz w:val="20"/>
          <w:szCs w:val="20"/>
          <w:color w:val="auto"/>
        </w:rPr>
      </w:pPr>
      <w:r>
        <w:rPr>
          <w:rFonts w:ascii="Arial" w:cs="Arial" w:eastAsia="Arial" w:hAnsi="Arial"/>
          <w:sz w:val="28"/>
          <w:szCs w:val="28"/>
          <w:color w:val="009A4B"/>
        </w:rPr>
        <w:t>Board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225" cy="4868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4225" cy="4868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009A4B"/>
        </w:rPr>
        <w:t>Ongoing Assessment of Board Composition</w:t>
      </w:r>
    </w:p>
    <w:p>
      <w:pPr>
        <w:spacing w:after="0" w:line="199" w:lineRule="exact"/>
        <w:rPr>
          <w:sz w:val="20"/>
          <w:szCs w:val="20"/>
          <w:color w:val="auto"/>
        </w:rPr>
      </w:pPr>
    </w:p>
    <w:p>
      <w:pPr>
        <w:ind w:left="860"/>
        <w:spacing w:after="0" w:line="244" w:lineRule="auto"/>
        <w:rPr>
          <w:sz w:val="20"/>
          <w:szCs w:val="20"/>
          <w:color w:val="auto"/>
        </w:rPr>
      </w:pPr>
      <w:r>
        <w:rPr>
          <w:rFonts w:ascii="Arial" w:cs="Arial" w:eastAsia="Arial" w:hAnsi="Arial"/>
          <w:sz w:val="16"/>
          <w:szCs w:val="16"/>
          <w:color w:val="auto"/>
        </w:rPr>
        <w:t>The qualities and skills necessary for a specific director nominee are governed by the needs of the Company at the time the Corporate Governance and Nominating Committee determines to add a director to the Board. The specific requirements of the Company are determined by the Committee and are based on, among other things, the Company’s current business, market, geographic and regulatory environments; the mix of perspectives, experience, backgrounds and competencies currently represented by the other Board members; diversity considerations; and the CEO’s views as to areas in which management desires additional advice and counsel.</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009A4B"/>
        </w:rPr>
        <w:t>Identification of Candidates</w:t>
      </w:r>
    </w:p>
    <w:p>
      <w:pPr>
        <w:spacing w:after="0" w:line="212" w:lineRule="exact"/>
        <w:rPr>
          <w:sz w:val="20"/>
          <w:szCs w:val="20"/>
          <w:color w:val="auto"/>
        </w:rPr>
      </w:pPr>
    </w:p>
    <w:p>
      <w:pPr>
        <w:ind w:left="860" w:right="20"/>
        <w:spacing w:after="0" w:line="245" w:lineRule="auto"/>
        <w:rPr>
          <w:sz w:val="20"/>
          <w:szCs w:val="20"/>
          <w:color w:val="auto"/>
        </w:rPr>
      </w:pPr>
      <w:r>
        <w:rPr>
          <w:rFonts w:ascii="Arial" w:cs="Arial" w:eastAsia="Arial" w:hAnsi="Arial"/>
          <w:sz w:val="16"/>
          <w:szCs w:val="16"/>
          <w:color w:val="auto"/>
        </w:rPr>
        <w:t>When the need to recruit a non-management director arises, the Corporate Governance and Nominating Committee’s standard process is to consult the other directors, the CEO and sometimes a third-party recruiting firm to identify potential candidates. Once a candidate is identified, the candidate screening process typically is conducted initially through an interview by one or more members of the Committee and the CEO.</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009A4B"/>
        </w:rPr>
        <w:t>Candidate Selection</w:t>
      </w:r>
    </w:p>
    <w:p>
      <w:pPr>
        <w:spacing w:after="0" w:line="212" w:lineRule="exact"/>
        <w:rPr>
          <w:sz w:val="20"/>
          <w:szCs w:val="20"/>
          <w:color w:val="auto"/>
        </w:rPr>
      </w:pPr>
    </w:p>
    <w:p>
      <w:pPr>
        <w:ind w:left="860" w:right="60"/>
        <w:spacing w:after="0" w:line="245" w:lineRule="auto"/>
        <w:rPr>
          <w:sz w:val="20"/>
          <w:szCs w:val="20"/>
          <w:color w:val="auto"/>
        </w:rPr>
      </w:pPr>
      <w:r>
        <w:rPr>
          <w:rFonts w:ascii="Arial" w:cs="Arial" w:eastAsia="Arial" w:hAnsi="Arial"/>
          <w:sz w:val="16"/>
          <w:szCs w:val="16"/>
          <w:color w:val="auto"/>
        </w:rPr>
        <w:t>After initial interviews, the candidate may be considered by the Corporate Governance and Nominating Committee or directly by the Board. Prior to nomination or election, an investigation is conducted to verify the candidate’s reputation and background, the candidate’s independence as measured by the Board’s independence standards and other factors that the Committee deems appropriate at the 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Tenure Policy</w:t>
      </w:r>
    </w:p>
    <w:p>
      <w:pPr>
        <w:spacing w:after="0" w:line="182" w:lineRule="exact"/>
        <w:rPr>
          <w:sz w:val="20"/>
          <w:szCs w:val="20"/>
          <w:color w:val="auto"/>
        </w:rPr>
      </w:pPr>
    </w:p>
    <w:p>
      <w:pPr>
        <w:ind w:right="880"/>
        <w:spacing w:after="0" w:line="243" w:lineRule="auto"/>
        <w:rPr>
          <w:sz w:val="20"/>
          <w:szCs w:val="20"/>
          <w:color w:val="auto"/>
        </w:rPr>
      </w:pPr>
      <w:r>
        <w:rPr>
          <w:rFonts w:ascii="Arial" w:cs="Arial" w:eastAsia="Arial" w:hAnsi="Arial"/>
          <w:sz w:val="16"/>
          <w:szCs w:val="16"/>
          <w:color w:val="auto"/>
        </w:rPr>
        <w:t>To enable Board succession planning and refreshment, the Board has adopted a policy that a non-employee director may not continue to serve on the Board after the Annual Meeting following the earlier of his or her completion of 15 full years of service on the Board or attainment of age</w:t>
      </w:r>
    </w:p>
    <w:p>
      <w:pPr>
        <w:spacing w:after="0" w:line="1" w:lineRule="exact"/>
        <w:rPr>
          <w:sz w:val="20"/>
          <w:szCs w:val="20"/>
          <w:color w:val="auto"/>
        </w:rPr>
      </w:pPr>
    </w:p>
    <w:p>
      <w:pPr>
        <w:ind w:right="880" w:firstLine="6"/>
        <w:spacing w:after="0" w:line="244" w:lineRule="auto"/>
        <w:tabs>
          <w:tab w:leader="none" w:pos="266"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Board retains the flexibility to waive this policy, including in response to events or recruiting realities. At the time Mr. Ghasemi was recruited to become the Company’s Chairman and CEO in 2014, the Board determined it would waive the age limit for him to enable him to remain a director during his employment.</w:t>
      </w:r>
    </w:p>
    <w:p>
      <w:pPr>
        <w:spacing w:after="0" w:line="3704" w:lineRule="exact"/>
        <w:rPr>
          <w:sz w:val="20"/>
          <w:szCs w:val="20"/>
          <w:color w:val="auto"/>
        </w:rPr>
      </w:pPr>
    </w:p>
    <w:p>
      <w:pPr>
        <w:sectPr>
          <w:pgSz w:w="11900" w:h="16838" w:orient="portrait"/>
          <w:cols w:equalWidth="0" w:num="2">
            <w:col w:w="6880" w:space="500"/>
            <w:col w:w="3860"/>
          </w:cols>
          <w:pgMar w:left="320" w:top="140" w:right="339" w:bottom="1440" w:gutter="0" w:footer="0" w:header="0"/>
          <w:type w:val="continuous"/>
        </w:sectPr>
      </w:pPr>
    </w:p>
    <w:p>
      <w:pPr>
        <w:spacing w:after="0" w:line="200" w:lineRule="exact"/>
        <w:rPr>
          <w:sz w:val="20"/>
          <w:szCs w:val="20"/>
          <w:color w:val="auto"/>
        </w:rPr>
      </w:pPr>
    </w:p>
    <w:p>
      <w:pPr>
        <w:spacing w:after="0" w:line="242" w:lineRule="exact"/>
        <w:rPr>
          <w:sz w:val="20"/>
          <w:szCs w:val="20"/>
          <w:color w:val="auto"/>
        </w:rPr>
      </w:pPr>
    </w:p>
    <w:p>
      <w:pPr>
        <w:ind w:left="9480"/>
        <w:spacing w:after="0"/>
        <w:tabs>
          <w:tab w:leader="none" w:pos="1106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7155180" cy="209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28"/>
          <w:szCs w:val="28"/>
          <w:color w:val="009A4B"/>
        </w:rPr>
        <w:t>Shareholder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225"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36"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The Corporate Governance and Nominating Committee has adopted a policy regarding its consideration of director candidates recommended by shareholders for nomination by the Board at an annual meeting of shareholders and a procedure for submission of such candidates. The policy provides that candidates recommended by shareholders will be reviewed by the Corporate Secretary to determine satisfaction of minimum qualifications for director candidates adopted by the Committee and consistency of the candidacy with current recruiting objectives of the Committee. Candidates determined by the Corporate Secretary to possess minimum qualifications and to have characteristics not inconsistent with current recruiting objectives will be sent to the Committee for evaluation. Submissions of candidates must be made in writing and received not later than 90 days prior to the anniversary date of the prior annual meeting. The submission must also provide certain information concerning the candidate and the recommending shareholder(s), a statement explaining why the candidate has the qualifications required and consent of the candidate to a background check and to be interviewed by the Chairman of the Board and the Corporate Governance and Nominating Committee and to serve if elected. A copy of the policy and procedure is available upon request from the Corporate Secretary’s Office. Candidates recommended by shareholders in accordance with these procedures will be screened and evaluated by the Corporate Governance and Nominating Committee in the same manner as other candidates recommended by the Board. In addition to these procedures, our Bylaws contain procedures that must be followed by a shareholder or group of shareholders seeking to nominate candidates to the Board without the Board’s recommendation.</w:t>
      </w:r>
    </w:p>
    <w:p>
      <w:pPr>
        <w:spacing w:after="0" w:line="145"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In addition to the foregoing procedures for shareholder nomination, our Bylaws permit “shareholder proxy access”, which allows a shareholder or group of shareholders meeting certain conditions to nominate director candidates for election at annual meetings of shareholders using our proxy statement. This provision allows a shareholder, or group of up to 20 shareholders, to nominate up to two director candidates or, if greater, up to 20% of the number of directors then serving on our Board. The shareholder or group must have owned continuously for at least three years a number of shares equal to at least 3% of our outstanding common stock measured as of the date we receive the nomination. A proxy access nomination must be made not earlier than 150 days and not later than 120 days prior to the anniversary date of the proxy statement for the prior annual meeting and contain certain information described above concerning the candidate and the nominating shareholder(s) as well as certain additional information required by our proxy access bylaw. The number of director candidates who may be nominated under our proxy access bylaw will be reduced by the number of director nominations made using the shareholder nomination process described above.</w:t>
      </w:r>
    </w:p>
    <w:p>
      <w:pPr>
        <w:spacing w:after="0" w:line="203" w:lineRule="exact"/>
        <w:rPr>
          <w:sz w:val="20"/>
          <w:szCs w:val="20"/>
          <w:color w:val="auto"/>
        </w:rPr>
      </w:pPr>
    </w:p>
    <w:p>
      <w:pPr>
        <w:spacing w:after="0"/>
        <w:rPr>
          <w:sz w:val="20"/>
          <w:szCs w:val="20"/>
          <w:color w:val="auto"/>
        </w:rPr>
      </w:pPr>
      <w:r>
        <w:rPr>
          <w:rFonts w:ascii="Arial" w:cs="Arial" w:eastAsia="Arial" w:hAnsi="Arial"/>
          <w:sz w:val="35"/>
          <w:szCs w:val="35"/>
          <w:color w:val="009A4B"/>
        </w:rPr>
        <w:t>Board Responsibilities</w:t>
      </w:r>
    </w:p>
    <w:p>
      <w:pPr>
        <w:spacing w:after="0" w:line="221" w:lineRule="exact"/>
        <w:rPr>
          <w:sz w:val="20"/>
          <w:szCs w:val="20"/>
          <w:color w:val="auto"/>
        </w:rPr>
      </w:pPr>
    </w:p>
    <w:p>
      <w:pPr>
        <w:spacing w:after="0"/>
        <w:rPr>
          <w:sz w:val="20"/>
          <w:szCs w:val="20"/>
          <w:color w:val="auto"/>
        </w:rPr>
      </w:pPr>
      <w:r>
        <w:rPr>
          <w:rFonts w:ascii="Arial" w:cs="Arial" w:eastAsia="Arial" w:hAnsi="Arial"/>
          <w:sz w:val="28"/>
          <w:szCs w:val="28"/>
          <w:color w:val="009A4B"/>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225"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36" w:lineRule="exact"/>
        <w:rPr>
          <w:sz w:val="20"/>
          <w:szCs w:val="20"/>
          <w:color w:val="auto"/>
        </w:rPr>
      </w:pPr>
    </w:p>
    <w:p>
      <w:pPr>
        <w:jc w:val="both"/>
        <w:ind w:right="80"/>
        <w:spacing w:after="0" w:line="246" w:lineRule="auto"/>
        <w:rPr>
          <w:sz w:val="20"/>
          <w:szCs w:val="20"/>
          <w:color w:val="auto"/>
        </w:rPr>
      </w:pPr>
      <w:r>
        <w:rPr>
          <w:rFonts w:ascii="Arial" w:cs="Arial" w:eastAsia="Arial" w:hAnsi="Arial"/>
          <w:sz w:val="16"/>
          <w:szCs w:val="16"/>
          <w:color w:val="auto"/>
        </w:rPr>
        <w:t>Our business is managed by our employees under the direction and oversight of the Board. Among other responsibilities discussed below, the Board reviews, monitors and, where appropriate, approves fundamental financial and business strategies and major corporate actions. The Board is elected by shareholders to provide advice and counsel to and oversee management to ensure that the interests of the shareholders and other corporate constituents are being served with a view toward maximizing our long-term value.</w:t>
      </w:r>
    </w:p>
    <w:p>
      <w:pPr>
        <w:spacing w:after="0" w:line="15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Directors exercise their oversight responsibilities through discussions with management, review of materials management provides to them, visits to our offices and facilities and their participation in Board and committee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89535</wp:posOffset>
            </wp:positionV>
            <wp:extent cx="845185" cy="20256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45185" cy="20256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7155180" cy="209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28"/>
          <w:szCs w:val="28"/>
          <w:color w:val="009A4B"/>
        </w:rPr>
        <w:t>Strategy and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225"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36" w:lineRule="exact"/>
        <w:rPr>
          <w:sz w:val="20"/>
          <w:szCs w:val="20"/>
          <w:color w:val="auto"/>
        </w:rPr>
      </w:pPr>
    </w:p>
    <w:p>
      <w:pPr>
        <w:ind w:right="620"/>
        <w:spacing w:after="0" w:line="254" w:lineRule="auto"/>
        <w:rPr>
          <w:sz w:val="20"/>
          <w:szCs w:val="20"/>
          <w:color w:val="auto"/>
        </w:rPr>
      </w:pPr>
      <w:r>
        <w:rPr>
          <w:rFonts w:ascii="Arial" w:cs="Arial" w:eastAsia="Arial" w:hAnsi="Arial"/>
          <w:sz w:val="16"/>
          <w:szCs w:val="16"/>
          <w:color w:val="auto"/>
        </w:rPr>
        <w:t>The CEO and other members of senior management are responsible for assessing and managing the Company’s risk exposure, and the Board and its committees provide oversight in connection with those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89535</wp:posOffset>
            </wp:positionV>
            <wp:extent cx="6297295" cy="599313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297295" cy="5993130"/>
                    </a:xfrm>
                    <a:prstGeom prst="rect">
                      <a:avLst/>
                    </a:prstGeom>
                    <a:noFill/>
                  </pic:spPr>
                </pic:pic>
              </a:graphicData>
            </a:graphic>
          </wp:anchor>
        </w:drawing>
      </w:r>
    </w:p>
    <w:p>
      <w:pPr>
        <w:spacing w:after="0" w:line="373" w:lineRule="exact"/>
        <w:rPr>
          <w:sz w:val="20"/>
          <w:szCs w:val="20"/>
          <w:color w:val="auto"/>
        </w:rPr>
      </w:pPr>
    </w:p>
    <w:p>
      <w:pPr>
        <w:ind w:left="1240"/>
        <w:spacing w:after="0"/>
        <w:rPr>
          <w:sz w:val="20"/>
          <w:szCs w:val="20"/>
          <w:color w:val="auto"/>
        </w:rPr>
      </w:pPr>
      <w:r>
        <w:rPr>
          <w:rFonts w:ascii="Arial" w:cs="Arial" w:eastAsia="Arial" w:hAnsi="Arial"/>
          <w:sz w:val="20"/>
          <w:szCs w:val="20"/>
          <w:b w:val="1"/>
          <w:bCs w:val="1"/>
          <w:color w:val="009A4B"/>
        </w:rPr>
        <w:t>The Board of Directors</w:t>
      </w:r>
    </w:p>
    <w:p>
      <w:pPr>
        <w:spacing w:after="0" w:line="212" w:lineRule="exact"/>
        <w:rPr>
          <w:sz w:val="20"/>
          <w:szCs w:val="20"/>
          <w:color w:val="auto"/>
        </w:rPr>
      </w:pPr>
    </w:p>
    <w:p>
      <w:pPr>
        <w:ind w:left="1240" w:right="1380"/>
        <w:spacing w:after="0" w:line="244" w:lineRule="auto"/>
        <w:rPr>
          <w:sz w:val="20"/>
          <w:szCs w:val="20"/>
          <w:color w:val="auto"/>
        </w:rPr>
      </w:pPr>
      <w:r>
        <w:rPr>
          <w:rFonts w:ascii="Arial" w:cs="Arial" w:eastAsia="Arial" w:hAnsi="Arial"/>
          <w:sz w:val="16"/>
          <w:szCs w:val="16"/>
          <w:color w:val="auto"/>
        </w:rPr>
        <w:t>Responsibility for risk oversight rests with the Board. The Board formally reviews the Company’s risk management processes and policies periodically, including identification of key risks and associated monitoring, control and mitigation activities. The Board primarily exercises its risk oversight responsibility through meetings, discussions and review of management reports and proposals. Evaluation of risk is inherent in the Board’s consideration of the Company’s long-term strategies and in the transactions and other matters presented to the Board, including large capital expenditures, acquisitions and divestitures and updates on cybersecurity and environmental, health and safety compliance. Committees help the Board carry out this responsibility by focusing on specific key areas of risk inherent in our business. All Board members are invited to attend most committee meetings, and Board members who do not attend committee meetings receive information about committee activities and deliberations.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009A4B"/>
        </w:rPr>
        <w:t>Audit and Finance Committee</w:t>
      </w:r>
    </w:p>
    <w:p>
      <w:pPr>
        <w:spacing w:after="0" w:line="182" w:lineRule="exact"/>
        <w:rPr>
          <w:sz w:val="20"/>
          <w:szCs w:val="20"/>
          <w:color w:val="auto"/>
        </w:rPr>
      </w:pPr>
    </w:p>
    <w:p>
      <w:pPr>
        <w:ind w:left="1240"/>
        <w:spacing w:after="0" w:line="243" w:lineRule="auto"/>
        <w:rPr>
          <w:sz w:val="20"/>
          <w:szCs w:val="20"/>
          <w:color w:val="auto"/>
        </w:rPr>
      </w:pPr>
      <w:r>
        <w:rPr>
          <w:rFonts w:ascii="Arial" w:cs="Arial" w:eastAsia="Arial" w:hAnsi="Arial"/>
          <w:sz w:val="16"/>
          <w:szCs w:val="16"/>
          <w:color w:val="auto"/>
        </w:rPr>
        <w:t>The Audit and Finance Committee oversees risks associated with financial and accounting matters, including legal and regulatory compliance, financial instruments, financial transactions, financial policies and strategies, pension funding, capital structure and the Company’s financial reporting and internal control systems. The Audit and Finance Committee also has oversight of the Company’s risk assessment and management process, including oversight of cybersecurity risk and associated monitoring, control and mitigation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480"/>
        <w:spacing w:after="0" w:line="315" w:lineRule="auto"/>
        <w:rPr>
          <w:sz w:val="20"/>
          <w:szCs w:val="20"/>
          <w:color w:val="auto"/>
        </w:rPr>
      </w:pPr>
      <w:r>
        <w:rPr>
          <w:rFonts w:ascii="Arial" w:cs="Arial" w:eastAsia="Arial" w:hAnsi="Arial"/>
          <w:sz w:val="15"/>
          <w:szCs w:val="15"/>
          <w:b w:val="1"/>
          <w:bCs w:val="1"/>
          <w:color w:val="009A4B"/>
        </w:rPr>
        <w:t>Corporate Governance and Nominating Committee</w:t>
      </w:r>
    </w:p>
    <w:p>
      <w:pPr>
        <w:spacing w:after="0" w:line="100"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The Corporate Governance and Nominating Committee oversees risks associated with corporate governance, including Board structure, director succession planning, the allocation of authority between management and the Board and the Company’s response to public policy issues, including areas of social responsibility, corporate citizenship and sustainability.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480"/>
        <w:spacing w:after="0" w:line="280" w:lineRule="auto"/>
        <w:rPr>
          <w:sz w:val="20"/>
          <w:szCs w:val="20"/>
          <w:color w:val="auto"/>
        </w:rPr>
      </w:pPr>
      <w:r>
        <w:rPr>
          <w:rFonts w:ascii="Arial" w:cs="Arial" w:eastAsia="Arial" w:hAnsi="Arial"/>
          <w:sz w:val="16"/>
          <w:szCs w:val="16"/>
          <w:b w:val="1"/>
          <w:bCs w:val="1"/>
          <w:color w:val="009A4B"/>
        </w:rPr>
        <w:t>Management Development and Compensation Committee</w:t>
      </w:r>
    </w:p>
    <w:p>
      <w:pPr>
        <w:spacing w:after="0" w:line="123" w:lineRule="exact"/>
        <w:rPr>
          <w:sz w:val="20"/>
          <w:szCs w:val="20"/>
          <w:color w:val="auto"/>
        </w:rPr>
      </w:pPr>
    </w:p>
    <w:p>
      <w:pPr>
        <w:ind w:right="1360"/>
        <w:spacing w:after="0" w:line="262" w:lineRule="auto"/>
        <w:rPr>
          <w:sz w:val="20"/>
          <w:szCs w:val="20"/>
          <w:color w:val="auto"/>
        </w:rPr>
      </w:pPr>
      <w:r>
        <w:rPr>
          <w:rFonts w:ascii="Arial" w:cs="Arial" w:eastAsia="Arial" w:hAnsi="Arial"/>
          <w:sz w:val="15"/>
          <w:szCs w:val="15"/>
          <w:color w:val="auto"/>
        </w:rPr>
        <w:t>The Management Development and Compensation Committee helps ensure that the Company’s executive compensation policies and practices support the retention and development of executive talent with the experience required to manage risks inherent to the business, while at the same time not encouraging or rewarding excessive risk-taking by our executives.</w:t>
      </w:r>
    </w:p>
    <w:p>
      <w:pPr>
        <w:spacing w:after="0" w:line="1109" w:lineRule="exact"/>
        <w:rPr>
          <w:sz w:val="20"/>
          <w:szCs w:val="20"/>
          <w:color w:val="auto"/>
        </w:rPr>
      </w:pPr>
    </w:p>
    <w:p>
      <w:pPr>
        <w:sectPr>
          <w:pgSz w:w="11900" w:h="16838" w:orient="portrait"/>
          <w:cols w:equalWidth="0" w:num="3">
            <w:col w:w="3680" w:space="640"/>
            <w:col w:w="2540" w:space="560"/>
            <w:col w:w="382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009A4B"/>
        </w:rPr>
        <w:t>Management</w:t>
      </w:r>
    </w:p>
    <w:p>
      <w:pPr>
        <w:spacing w:after="0" w:line="182" w:lineRule="exact"/>
        <w:rPr>
          <w:sz w:val="20"/>
          <w:szCs w:val="20"/>
          <w:color w:val="auto"/>
        </w:rPr>
      </w:pPr>
    </w:p>
    <w:p>
      <w:pPr>
        <w:ind w:left="1240" w:right="1660"/>
        <w:spacing w:after="0" w:line="254" w:lineRule="auto"/>
        <w:rPr>
          <w:sz w:val="20"/>
          <w:szCs w:val="20"/>
          <w:color w:val="auto"/>
        </w:rPr>
      </w:pPr>
      <w:r>
        <w:rPr>
          <w:rFonts w:ascii="Arial" w:cs="Arial" w:eastAsia="Arial" w:hAnsi="Arial"/>
          <w:sz w:val="16"/>
          <w:szCs w:val="16"/>
          <w:color w:val="auto"/>
        </w:rPr>
        <w:t>Management is responsible for assessing and managing the Company’s various risk exposures on a day-to-day basis, including through the creation of appropriate risk management programs and policies.</w:t>
      </w:r>
    </w:p>
    <w:p>
      <w:pPr>
        <w:spacing w:after="0" w:line="32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55180" cy="209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134225" cy="146240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34225" cy="1462405"/>
                    </a:xfrm>
                    <a:prstGeom prst="rect">
                      <a:avLst/>
                    </a:prstGeom>
                    <a:noFill/>
                  </pic:spPr>
                </pic:pic>
              </a:graphicData>
            </a:graphic>
          </wp:anchor>
        </w:drawing>
      </w:r>
    </w:p>
    <w:p>
      <w:pPr>
        <w:spacing w:after="0" w:line="371"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009A4B"/>
        </w:rPr>
        <w:t>Board Oversight of Cybersecurity Risk</w:t>
      </w:r>
    </w:p>
    <w:p>
      <w:pPr>
        <w:spacing w:after="0" w:line="239" w:lineRule="exact"/>
        <w:rPr>
          <w:sz w:val="20"/>
          <w:szCs w:val="20"/>
          <w:color w:val="auto"/>
        </w:rPr>
      </w:pPr>
    </w:p>
    <w:p>
      <w:pPr>
        <w:ind w:left="160" w:right="80"/>
        <w:spacing w:after="0" w:line="244" w:lineRule="auto"/>
        <w:rPr>
          <w:sz w:val="20"/>
          <w:szCs w:val="20"/>
          <w:color w:val="auto"/>
        </w:rPr>
      </w:pPr>
      <w:r>
        <w:rPr>
          <w:rFonts w:ascii="Arial" w:cs="Arial" w:eastAsia="Arial" w:hAnsi="Arial"/>
          <w:sz w:val="16"/>
          <w:szCs w:val="16"/>
          <w:color w:val="auto"/>
        </w:rPr>
        <w:t>Information security and privacy are of utmost importance to the Company to maintain the trust and confidence of our customers, employees and other stakeholders. Our Chief Information Officer and Chief Information Security Officer advise the Board of Directors at least quarterly on our cybersecurity risk management strategy and overall program status. The Company continuously assesses industry best practices and standards and leverages them to continually advance its cybersecurity risk management maturity with a focus on utilizing such practices and standards to predict, prevent, detect and respond to potential security threats. As part of the Company’s information security training program, all employees participate in various cybersecurity awareness activities, including formal training exercises and simulated phishing events. We maintain an updated information security policy and incident response plan. In 2021 we achieved our primary cybersecurity risk management objective of no material cybersecurity incidents. Over the past three years we have not incurred material expenses from cybersecurity incidents.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223520</wp:posOffset>
            </wp:positionV>
            <wp:extent cx="7134225" cy="194437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4225" cy="194437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009A4B"/>
        </w:rPr>
        <w:t>Board Oversight of Sustainability</w:t>
      </w:r>
    </w:p>
    <w:p>
      <w:pPr>
        <w:spacing w:after="0" w:line="225" w:lineRule="exact"/>
        <w:rPr>
          <w:sz w:val="20"/>
          <w:szCs w:val="20"/>
          <w:color w:val="auto"/>
        </w:rPr>
      </w:pPr>
    </w:p>
    <w:p>
      <w:pPr>
        <w:ind w:left="160" w:right="100"/>
        <w:spacing w:after="0" w:line="258" w:lineRule="auto"/>
        <w:rPr>
          <w:sz w:val="20"/>
          <w:szCs w:val="20"/>
          <w:color w:val="auto"/>
        </w:rPr>
      </w:pPr>
      <w:r>
        <w:rPr>
          <w:rFonts w:ascii="Arial" w:cs="Arial" w:eastAsia="Arial" w:hAnsi="Arial"/>
          <w:sz w:val="15"/>
          <w:szCs w:val="15"/>
          <w:color w:val="auto"/>
        </w:rPr>
        <w:t>The Board of Directors has accountability for oversight of our environmental, health and safety performance, which it reviews at least quarterly. The Corporate Governance and Nominating Committee has responsibility for monitoring our response to important public policy issues, including sustainability, which is reviewed on a routine basis. Business ethics, climate change, diversity and talent management are key subjects related to sustainability that are discussed by the Board. The Board also reviews our progress against our “Third by ’30” carbon intensity goal, which was established in 2020 for</w:t>
      </w:r>
    </w:p>
    <w:p>
      <w:pPr>
        <w:spacing w:after="0" w:line="1" w:lineRule="exact"/>
        <w:rPr>
          <w:sz w:val="20"/>
          <w:szCs w:val="20"/>
          <w:color w:val="auto"/>
        </w:rPr>
      </w:pPr>
    </w:p>
    <w:p>
      <w:pPr>
        <w:ind w:left="160"/>
        <w:spacing w:after="0" w:line="232" w:lineRule="auto"/>
        <w:rPr>
          <w:sz w:val="20"/>
          <w:szCs w:val="20"/>
          <w:color w:val="auto"/>
        </w:rPr>
      </w:pPr>
      <w:r>
        <w:rPr>
          <w:rFonts w:ascii="Arial" w:cs="Arial" w:eastAsia="Arial" w:hAnsi="Arial"/>
          <w:sz w:val="16"/>
          <w:szCs w:val="16"/>
          <w:color w:val="auto"/>
        </w:rPr>
        <w:t>achievement by 2030. This sustainability goal is focused on reducing our CO</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emissions intensity (kg/CO</w:t>
      </w:r>
      <w:r>
        <w:rPr>
          <w:rFonts w:ascii="Arial" w:cs="Arial" w:eastAsia="Arial" w:hAnsi="Arial"/>
          <w:sz w:val="26"/>
          <w:szCs w:val="26"/>
          <w:color w:val="auto"/>
          <w:vertAlign w:val="superscript"/>
        </w:rPr>
        <w:t>2</w:t>
      </w:r>
      <w:r>
        <w:rPr>
          <w:rFonts w:ascii="Arial" w:cs="Arial" w:eastAsia="Arial" w:hAnsi="Arial"/>
          <w:sz w:val="16"/>
          <w:szCs w:val="16"/>
          <w:color w:val="auto"/>
        </w:rPr>
        <w:t>/MM BTU) by one-third by the year 2030 from a 2015 baseline. We set this new target in 2020 after successfully attaining nearly all of our 2020 Sustainability Goals. We also have established new goals related to diversity. We are dedicated to achieving at least 28% female representation in the professional and managerial population globally by 2025 as well as at least 30% minority representation in the same population in the United States by 2025 (increased in November 2021 from 20% based on success achieved since the goal was initially established in October 2020). We also developed sustainability goals in other areas related to our Grow-Conserve-Care sustainability framework. In addition, the Management Development and Compensation Committee has structured our executive compensation program to balance financial results with other Company values such as sustainability, safety, diversity and ethical conduct. We also engage with our shareholders on sustainability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193040</wp:posOffset>
            </wp:positionV>
            <wp:extent cx="845185" cy="20256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45185" cy="20256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7155180" cy="209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28"/>
          <w:szCs w:val="28"/>
          <w:color w:val="009A4B"/>
        </w:rPr>
        <w:t>Management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225"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36" w:lineRule="exact"/>
        <w:rPr>
          <w:sz w:val="20"/>
          <w:szCs w:val="20"/>
          <w:color w:val="auto"/>
        </w:rPr>
      </w:pPr>
    </w:p>
    <w:p>
      <w:pPr>
        <w:jc w:val="both"/>
        <w:ind w:right="380"/>
        <w:spacing w:after="0" w:line="248" w:lineRule="auto"/>
        <w:rPr>
          <w:sz w:val="20"/>
          <w:szCs w:val="20"/>
          <w:color w:val="auto"/>
        </w:rPr>
      </w:pPr>
      <w:r>
        <w:rPr>
          <w:rFonts w:ascii="Arial" w:cs="Arial" w:eastAsia="Arial" w:hAnsi="Arial"/>
          <w:sz w:val="16"/>
          <w:szCs w:val="16"/>
          <w:color w:val="auto"/>
        </w:rPr>
        <w:t>The Management Development and Compensation Committee, the CEO and our Human Resources organization maintain an ongoing focus on executive development and succession planning to prepare the Company for future success. The Board reviews organization and succession plans with our CEO at least annually. In addition, the Company has an emergency succession procedure for the CEO that is reviewed annually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93345</wp:posOffset>
            </wp:positionV>
            <wp:extent cx="6271895" cy="16567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271895" cy="165671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860" w:right="180"/>
        <w:spacing w:after="0" w:line="268" w:lineRule="auto"/>
        <w:rPr>
          <w:sz w:val="20"/>
          <w:szCs w:val="20"/>
          <w:color w:val="auto"/>
        </w:rPr>
      </w:pPr>
      <w:r>
        <w:rPr>
          <w:rFonts w:ascii="Arial" w:cs="Arial" w:eastAsia="Arial" w:hAnsi="Arial"/>
          <w:sz w:val="15"/>
          <w:szCs w:val="15"/>
          <w:color w:val="auto"/>
        </w:rPr>
        <w:t>A comprehensive review of executive talent determines readiness to take on additional leadership roles and identifies developmental and coaching opportunities needed to prepare our executives for greater responsibilities.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right="1680"/>
        <w:spacing w:after="0" w:line="248" w:lineRule="auto"/>
        <w:rPr>
          <w:sz w:val="20"/>
          <w:szCs w:val="20"/>
          <w:color w:val="auto"/>
        </w:rPr>
      </w:pPr>
      <w:r>
        <w:rPr>
          <w:rFonts w:ascii="Arial" w:cs="Arial" w:eastAsia="Arial" w:hAnsi="Arial"/>
          <w:sz w:val="16"/>
          <w:szCs w:val="16"/>
          <w:color w:val="auto"/>
        </w:rPr>
        <w:t>In addition to preparing for CEO succession, the succession planning process includes other senior management positions.</w:t>
      </w:r>
    </w:p>
    <w:p>
      <w:pPr>
        <w:spacing w:after="0" w:line="306" w:lineRule="exact"/>
        <w:rPr>
          <w:sz w:val="20"/>
          <w:szCs w:val="20"/>
          <w:color w:val="auto"/>
        </w:rPr>
      </w:pPr>
    </w:p>
    <w:p>
      <w:pPr>
        <w:sectPr>
          <w:pgSz w:w="11900" w:h="16838" w:orient="portrait"/>
          <w:cols w:equalWidth="0" w:num="2">
            <w:col w:w="5280" w:space="720"/>
            <w:col w:w="5240"/>
          </w:cols>
          <w:pgMar w:left="320" w:top="140" w:right="339"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ind w:left="860" w:right="280"/>
        <w:spacing w:after="0" w:line="254" w:lineRule="auto"/>
        <w:rPr>
          <w:sz w:val="20"/>
          <w:szCs w:val="20"/>
          <w:color w:val="auto"/>
        </w:rPr>
      </w:pPr>
      <w:r>
        <w:rPr>
          <w:rFonts w:ascii="Arial" w:cs="Arial" w:eastAsia="Arial" w:hAnsi="Arial"/>
          <w:sz w:val="16"/>
          <w:szCs w:val="16"/>
          <w:color w:val="auto"/>
        </w:rPr>
        <w:t>Succession planning is a responsibility of the entire Board, and all directors participate in this process.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ind w:right="1960"/>
        <w:spacing w:after="0" w:line="254" w:lineRule="auto"/>
        <w:rPr>
          <w:sz w:val="20"/>
          <w:szCs w:val="20"/>
          <w:color w:val="auto"/>
        </w:rPr>
      </w:pPr>
      <w:r>
        <w:rPr>
          <w:rFonts w:ascii="Arial" w:cs="Arial" w:eastAsia="Arial" w:hAnsi="Arial"/>
          <w:sz w:val="16"/>
          <w:szCs w:val="16"/>
          <w:color w:val="auto"/>
        </w:rPr>
        <w:t>The CEO makes a formal succession planning presentation to the Board annually.</w:t>
      </w:r>
    </w:p>
    <w:p>
      <w:pPr>
        <w:spacing w:after="0" w:line="200" w:lineRule="exact"/>
        <w:rPr>
          <w:sz w:val="20"/>
          <w:szCs w:val="20"/>
          <w:color w:val="auto"/>
        </w:rPr>
      </w:pPr>
    </w:p>
    <w:p>
      <w:pPr>
        <w:sectPr>
          <w:pgSz w:w="11900" w:h="16838" w:orient="portrait"/>
          <w:cols w:equalWidth="0" w:num="2">
            <w:col w:w="5280" w:space="720"/>
            <w:col w:w="5240"/>
          </w:cols>
          <w:pgMar w:left="320" w:top="140" w:right="339"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8"/>
          <w:szCs w:val="28"/>
          <w:color w:val="009A4B"/>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225"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36"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The Board believes that fostering long-term relationships with shareholders, listening to their concerns and maintaining their trust and goodwill is a prerequisite to good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89535</wp:posOffset>
            </wp:positionV>
            <wp:extent cx="6271895" cy="199517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271895" cy="1995170"/>
                    </a:xfrm>
                    <a:prstGeom prst="rect">
                      <a:avLst/>
                    </a:prstGeom>
                    <a:noFill/>
                  </pic:spPr>
                </pic:pic>
              </a:graphicData>
            </a:graphic>
          </wp:anchor>
        </w:drawing>
      </w:r>
    </w:p>
    <w:p>
      <w:pPr>
        <w:spacing w:after="0" w:line="309" w:lineRule="exact"/>
        <w:rPr>
          <w:sz w:val="20"/>
          <w:szCs w:val="20"/>
          <w:color w:val="auto"/>
        </w:rPr>
      </w:pPr>
    </w:p>
    <w:tbl>
      <w:tblPr>
        <w:tblLayout w:type="fixed"/>
        <w:tblInd w:w="820" w:type="dxa"/>
        <w:tblCellMar>
          <w:top w:w="0" w:type="dxa"/>
          <w:left w:w="0" w:type="dxa"/>
          <w:bottom w:w="0" w:type="dxa"/>
          <w:right w:w="0" w:type="dxa"/>
        </w:tblCellMar>
      </w:tblPr>
      <w:tr>
        <w:trPr>
          <w:trHeight w:val="186"/>
        </w:trPr>
        <w:tc>
          <w:tcPr>
            <w:tcW w:w="2100" w:type="dxa"/>
            <w:vAlign w:val="bottom"/>
          </w:tcPr>
          <w:p>
            <w:pPr>
              <w:spacing w:after="0"/>
              <w:rPr>
                <w:sz w:val="20"/>
                <w:szCs w:val="20"/>
                <w:color w:val="auto"/>
              </w:rPr>
            </w:pPr>
            <w:r>
              <w:rPr>
                <w:rFonts w:ascii="Arial" w:cs="Arial" w:eastAsia="Arial" w:hAnsi="Arial"/>
                <w:sz w:val="16"/>
                <w:szCs w:val="16"/>
                <w:color w:val="auto"/>
              </w:rPr>
              <w:t>Management conducts</w:t>
            </w:r>
          </w:p>
        </w:tc>
        <w:tc>
          <w:tcPr>
            <w:tcW w:w="2700" w:type="dxa"/>
            <w:vAlign w:val="bottom"/>
          </w:tcPr>
          <w:p>
            <w:pPr>
              <w:ind w:left="400"/>
              <w:spacing w:after="0"/>
              <w:rPr>
                <w:sz w:val="20"/>
                <w:szCs w:val="20"/>
                <w:color w:val="auto"/>
              </w:rPr>
            </w:pPr>
            <w:r>
              <w:rPr>
                <w:rFonts w:ascii="Arial" w:cs="Arial" w:eastAsia="Arial" w:hAnsi="Arial"/>
                <w:sz w:val="16"/>
                <w:szCs w:val="16"/>
                <w:color w:val="auto"/>
              </w:rPr>
              <w:t>These engagements include</w:t>
            </w:r>
          </w:p>
        </w:tc>
        <w:tc>
          <w:tcPr>
            <w:tcW w:w="2440" w:type="dxa"/>
            <w:vAlign w:val="bottom"/>
          </w:tcPr>
          <w:p>
            <w:pPr>
              <w:ind w:left="280"/>
              <w:spacing w:after="0"/>
              <w:rPr>
                <w:sz w:val="20"/>
                <w:szCs w:val="20"/>
                <w:color w:val="auto"/>
              </w:rPr>
            </w:pPr>
            <w:r>
              <w:rPr>
                <w:rFonts w:ascii="Arial" w:cs="Arial" w:eastAsia="Arial" w:hAnsi="Arial"/>
                <w:sz w:val="16"/>
                <w:szCs w:val="16"/>
                <w:color w:val="auto"/>
              </w:rPr>
              <w:t>The Board oversees the</w:t>
            </w:r>
          </w:p>
        </w:tc>
        <w:tc>
          <w:tcPr>
            <w:tcW w:w="2140" w:type="dxa"/>
            <w:vAlign w:val="bottom"/>
          </w:tcPr>
          <w:p>
            <w:pPr>
              <w:ind w:left="300"/>
              <w:spacing w:after="0"/>
              <w:rPr>
                <w:sz w:val="20"/>
                <w:szCs w:val="20"/>
                <w:color w:val="auto"/>
              </w:rPr>
            </w:pPr>
            <w:r>
              <w:rPr>
                <w:rFonts w:ascii="Arial" w:cs="Arial" w:eastAsia="Arial" w:hAnsi="Arial"/>
                <w:sz w:val="16"/>
                <w:szCs w:val="16"/>
                <w:color w:val="auto"/>
              </w:rPr>
              <w:t>The Board also</w:t>
            </w:r>
          </w:p>
        </w:tc>
      </w:tr>
      <w:tr>
        <w:trPr>
          <w:trHeight w:val="186"/>
        </w:trPr>
        <w:tc>
          <w:tcPr>
            <w:tcW w:w="2100" w:type="dxa"/>
            <w:vAlign w:val="bottom"/>
          </w:tcPr>
          <w:p>
            <w:pPr>
              <w:spacing w:after="0"/>
              <w:rPr>
                <w:sz w:val="20"/>
                <w:szCs w:val="20"/>
                <w:color w:val="auto"/>
              </w:rPr>
            </w:pPr>
            <w:r>
              <w:rPr>
                <w:rFonts w:ascii="Arial" w:cs="Arial" w:eastAsia="Arial" w:hAnsi="Arial"/>
                <w:sz w:val="16"/>
                <w:szCs w:val="16"/>
                <w:color w:val="auto"/>
              </w:rPr>
              <w:t>extensive engagements</w:t>
            </w:r>
          </w:p>
        </w:tc>
        <w:tc>
          <w:tcPr>
            <w:tcW w:w="2700" w:type="dxa"/>
            <w:vAlign w:val="bottom"/>
          </w:tcPr>
          <w:p>
            <w:pPr>
              <w:ind w:left="400"/>
              <w:spacing w:after="0"/>
              <w:rPr>
                <w:sz w:val="20"/>
                <w:szCs w:val="20"/>
                <w:color w:val="auto"/>
              </w:rPr>
            </w:pPr>
            <w:r>
              <w:rPr>
                <w:rFonts w:ascii="Arial" w:cs="Arial" w:eastAsia="Arial" w:hAnsi="Arial"/>
                <w:sz w:val="16"/>
                <w:szCs w:val="16"/>
                <w:color w:val="auto"/>
              </w:rPr>
              <w:t>discussions about</w:t>
            </w:r>
          </w:p>
        </w:tc>
        <w:tc>
          <w:tcPr>
            <w:tcW w:w="2440" w:type="dxa"/>
            <w:vAlign w:val="bottom"/>
          </w:tcPr>
          <w:p>
            <w:pPr>
              <w:ind w:left="280"/>
              <w:spacing w:after="0"/>
              <w:rPr>
                <w:sz w:val="20"/>
                <w:szCs w:val="20"/>
                <w:color w:val="auto"/>
              </w:rPr>
            </w:pPr>
            <w:r>
              <w:rPr>
                <w:rFonts w:ascii="Arial" w:cs="Arial" w:eastAsia="Arial" w:hAnsi="Arial"/>
                <w:sz w:val="16"/>
                <w:szCs w:val="16"/>
                <w:color w:val="auto"/>
              </w:rPr>
              <w:t>discharge by management</w:t>
            </w:r>
          </w:p>
        </w:tc>
        <w:tc>
          <w:tcPr>
            <w:tcW w:w="2140" w:type="dxa"/>
            <w:vAlign w:val="bottom"/>
          </w:tcPr>
          <w:p>
            <w:pPr>
              <w:ind w:left="300"/>
              <w:spacing w:after="0"/>
              <w:rPr>
                <w:sz w:val="20"/>
                <w:szCs w:val="20"/>
                <w:color w:val="auto"/>
              </w:rPr>
            </w:pPr>
            <w:r>
              <w:rPr>
                <w:rFonts w:ascii="Arial" w:cs="Arial" w:eastAsia="Arial" w:hAnsi="Arial"/>
                <w:sz w:val="16"/>
                <w:szCs w:val="16"/>
                <w:color w:val="auto"/>
              </w:rPr>
              <w:t>specifically seeks to</w:t>
            </w:r>
          </w:p>
        </w:tc>
      </w:tr>
      <w:tr>
        <w:trPr>
          <w:trHeight w:val="186"/>
        </w:trPr>
        <w:tc>
          <w:tcPr>
            <w:tcW w:w="2100" w:type="dxa"/>
            <w:vAlign w:val="bottom"/>
          </w:tcPr>
          <w:p>
            <w:pPr>
              <w:spacing w:after="0"/>
              <w:rPr>
                <w:sz w:val="20"/>
                <w:szCs w:val="20"/>
                <w:color w:val="auto"/>
              </w:rPr>
            </w:pPr>
            <w:r>
              <w:rPr>
                <w:rFonts w:ascii="Arial" w:cs="Arial" w:eastAsia="Arial" w:hAnsi="Arial"/>
                <w:sz w:val="16"/>
                <w:szCs w:val="16"/>
                <w:color w:val="auto"/>
              </w:rPr>
              <w:t>with key shareholders.</w:t>
            </w:r>
          </w:p>
        </w:tc>
        <w:tc>
          <w:tcPr>
            <w:tcW w:w="2700" w:type="dxa"/>
            <w:vAlign w:val="bottom"/>
          </w:tcPr>
          <w:p>
            <w:pPr>
              <w:ind w:left="400"/>
              <w:spacing w:after="0"/>
              <w:rPr>
                <w:sz w:val="20"/>
                <w:szCs w:val="20"/>
                <w:color w:val="auto"/>
              </w:rPr>
            </w:pPr>
            <w:r>
              <w:rPr>
                <w:rFonts w:ascii="Arial" w:cs="Arial" w:eastAsia="Arial" w:hAnsi="Arial"/>
                <w:sz w:val="16"/>
                <w:szCs w:val="16"/>
                <w:color w:val="auto"/>
              </w:rPr>
              <w:t>governance, compensation,</w:t>
            </w:r>
          </w:p>
        </w:tc>
        <w:tc>
          <w:tcPr>
            <w:tcW w:w="2440" w:type="dxa"/>
            <w:vAlign w:val="bottom"/>
          </w:tcPr>
          <w:p>
            <w:pPr>
              <w:ind w:left="280"/>
              <w:spacing w:after="0"/>
              <w:rPr>
                <w:sz w:val="20"/>
                <w:szCs w:val="20"/>
                <w:color w:val="auto"/>
              </w:rPr>
            </w:pPr>
            <w:r>
              <w:rPr>
                <w:rFonts w:ascii="Arial" w:cs="Arial" w:eastAsia="Arial" w:hAnsi="Arial"/>
                <w:sz w:val="16"/>
                <w:szCs w:val="16"/>
                <w:color w:val="auto"/>
              </w:rPr>
              <w:t>of shareholder</w:t>
            </w:r>
          </w:p>
        </w:tc>
        <w:tc>
          <w:tcPr>
            <w:tcW w:w="2140" w:type="dxa"/>
            <w:vAlign w:val="bottom"/>
          </w:tcPr>
          <w:p>
            <w:pPr>
              <w:ind w:left="300"/>
              <w:spacing w:after="0"/>
              <w:rPr>
                <w:sz w:val="20"/>
                <w:szCs w:val="20"/>
                <w:color w:val="auto"/>
              </w:rPr>
            </w:pPr>
            <w:r>
              <w:rPr>
                <w:rFonts w:ascii="Arial" w:cs="Arial" w:eastAsia="Arial" w:hAnsi="Arial"/>
                <w:sz w:val="16"/>
                <w:szCs w:val="16"/>
                <w:color w:val="auto"/>
                <w:w w:val="97"/>
              </w:rPr>
              <w:t>understand any significant</w:t>
            </w:r>
          </w:p>
        </w:tc>
      </w:tr>
      <w:tr>
        <w:trPr>
          <w:trHeight w:val="186"/>
        </w:trPr>
        <w:tc>
          <w:tcPr>
            <w:tcW w:w="2100" w:type="dxa"/>
            <w:vAlign w:val="bottom"/>
          </w:tcPr>
          <w:p>
            <w:pPr>
              <w:spacing w:after="0"/>
              <w:rPr>
                <w:sz w:val="16"/>
                <w:szCs w:val="16"/>
                <w:color w:val="auto"/>
              </w:rPr>
            </w:pPr>
          </w:p>
        </w:tc>
        <w:tc>
          <w:tcPr>
            <w:tcW w:w="2700" w:type="dxa"/>
            <w:vAlign w:val="bottom"/>
          </w:tcPr>
          <w:p>
            <w:pPr>
              <w:ind w:left="400"/>
              <w:spacing w:after="0"/>
              <w:rPr>
                <w:sz w:val="20"/>
                <w:szCs w:val="20"/>
                <w:color w:val="auto"/>
              </w:rPr>
            </w:pPr>
            <w:r>
              <w:rPr>
                <w:rFonts w:ascii="Arial" w:cs="Arial" w:eastAsia="Arial" w:hAnsi="Arial"/>
                <w:sz w:val="16"/>
                <w:szCs w:val="16"/>
                <w:color w:val="auto"/>
              </w:rPr>
              <w:t>sustainability and safety, as</w:t>
            </w:r>
          </w:p>
        </w:tc>
        <w:tc>
          <w:tcPr>
            <w:tcW w:w="2440" w:type="dxa"/>
            <w:vAlign w:val="bottom"/>
          </w:tcPr>
          <w:p>
            <w:pPr>
              <w:ind w:left="280"/>
              <w:spacing w:after="0"/>
              <w:rPr>
                <w:sz w:val="20"/>
                <w:szCs w:val="20"/>
                <w:color w:val="auto"/>
              </w:rPr>
            </w:pPr>
            <w:r>
              <w:rPr>
                <w:rFonts w:ascii="Arial" w:cs="Arial" w:eastAsia="Arial" w:hAnsi="Arial"/>
                <w:sz w:val="16"/>
                <w:szCs w:val="16"/>
                <w:color w:val="auto"/>
              </w:rPr>
              <w:t>communication and</w:t>
            </w:r>
          </w:p>
        </w:tc>
        <w:tc>
          <w:tcPr>
            <w:tcW w:w="2140" w:type="dxa"/>
            <w:vAlign w:val="bottom"/>
          </w:tcPr>
          <w:p>
            <w:pPr>
              <w:ind w:left="300"/>
              <w:spacing w:after="0"/>
              <w:rPr>
                <w:sz w:val="20"/>
                <w:szCs w:val="20"/>
                <w:color w:val="auto"/>
              </w:rPr>
            </w:pPr>
            <w:r>
              <w:rPr>
                <w:rFonts w:ascii="Arial" w:cs="Arial" w:eastAsia="Arial" w:hAnsi="Arial"/>
                <w:sz w:val="16"/>
                <w:szCs w:val="16"/>
                <w:color w:val="auto"/>
              </w:rPr>
              <w:t>voting trends regarding</w:t>
            </w:r>
          </w:p>
        </w:tc>
      </w:tr>
      <w:tr>
        <w:trPr>
          <w:trHeight w:val="186"/>
        </w:trPr>
        <w:tc>
          <w:tcPr>
            <w:tcW w:w="2100" w:type="dxa"/>
            <w:vAlign w:val="bottom"/>
          </w:tcPr>
          <w:p>
            <w:pPr>
              <w:spacing w:after="0"/>
              <w:rPr>
                <w:sz w:val="16"/>
                <w:szCs w:val="16"/>
                <w:color w:val="auto"/>
              </w:rPr>
            </w:pPr>
          </w:p>
        </w:tc>
        <w:tc>
          <w:tcPr>
            <w:tcW w:w="2700" w:type="dxa"/>
            <w:vAlign w:val="bottom"/>
          </w:tcPr>
          <w:p>
            <w:pPr>
              <w:ind w:left="400"/>
              <w:spacing w:after="0"/>
              <w:rPr>
                <w:sz w:val="20"/>
                <w:szCs w:val="20"/>
                <w:color w:val="auto"/>
              </w:rPr>
            </w:pPr>
            <w:r>
              <w:rPr>
                <w:rFonts w:ascii="Arial" w:cs="Arial" w:eastAsia="Arial" w:hAnsi="Arial"/>
                <w:sz w:val="16"/>
                <w:szCs w:val="16"/>
                <w:color w:val="auto"/>
              </w:rPr>
              <w:t>well as financial and</w:t>
            </w:r>
          </w:p>
        </w:tc>
        <w:tc>
          <w:tcPr>
            <w:tcW w:w="2440" w:type="dxa"/>
            <w:vAlign w:val="bottom"/>
          </w:tcPr>
          <w:p>
            <w:pPr>
              <w:ind w:left="280"/>
              <w:spacing w:after="0"/>
              <w:rPr>
                <w:sz w:val="20"/>
                <w:szCs w:val="20"/>
                <w:color w:val="auto"/>
              </w:rPr>
            </w:pPr>
            <w:r>
              <w:rPr>
                <w:rFonts w:ascii="Arial" w:cs="Arial" w:eastAsia="Arial" w:hAnsi="Arial"/>
                <w:sz w:val="16"/>
                <w:szCs w:val="16"/>
                <w:color w:val="auto"/>
              </w:rPr>
              <w:t>engagement and receives</w:t>
            </w:r>
          </w:p>
        </w:tc>
        <w:tc>
          <w:tcPr>
            <w:tcW w:w="2140" w:type="dxa"/>
            <w:vAlign w:val="bottom"/>
          </w:tcPr>
          <w:p>
            <w:pPr>
              <w:ind w:left="300"/>
              <w:spacing w:after="0"/>
              <w:rPr>
                <w:sz w:val="20"/>
                <w:szCs w:val="20"/>
                <w:color w:val="auto"/>
              </w:rPr>
            </w:pPr>
            <w:r>
              <w:rPr>
                <w:rFonts w:ascii="Arial" w:cs="Arial" w:eastAsia="Arial" w:hAnsi="Arial"/>
                <w:sz w:val="16"/>
                <w:szCs w:val="16"/>
                <w:color w:val="auto"/>
              </w:rPr>
              <w:t>the Company’s executive</w:t>
            </w:r>
          </w:p>
        </w:tc>
      </w:tr>
      <w:tr>
        <w:trPr>
          <w:trHeight w:val="186"/>
        </w:trPr>
        <w:tc>
          <w:tcPr>
            <w:tcW w:w="2100" w:type="dxa"/>
            <w:vAlign w:val="bottom"/>
          </w:tcPr>
          <w:p>
            <w:pPr>
              <w:spacing w:after="0"/>
              <w:rPr>
                <w:sz w:val="16"/>
                <w:szCs w:val="16"/>
                <w:color w:val="auto"/>
              </w:rPr>
            </w:pPr>
          </w:p>
        </w:tc>
        <w:tc>
          <w:tcPr>
            <w:tcW w:w="2700" w:type="dxa"/>
            <w:vAlign w:val="bottom"/>
          </w:tcPr>
          <w:p>
            <w:pPr>
              <w:ind w:left="400"/>
              <w:spacing w:after="0"/>
              <w:rPr>
                <w:sz w:val="20"/>
                <w:szCs w:val="20"/>
                <w:color w:val="auto"/>
              </w:rPr>
            </w:pPr>
            <w:r>
              <w:rPr>
                <w:rFonts w:ascii="Arial" w:cs="Arial" w:eastAsia="Arial" w:hAnsi="Arial"/>
                <w:sz w:val="16"/>
                <w:szCs w:val="16"/>
                <w:color w:val="auto"/>
              </w:rPr>
              <w:t>operational matters, to</w:t>
            </w:r>
          </w:p>
        </w:tc>
        <w:tc>
          <w:tcPr>
            <w:tcW w:w="2440" w:type="dxa"/>
            <w:vAlign w:val="bottom"/>
          </w:tcPr>
          <w:p>
            <w:pPr>
              <w:ind w:left="280"/>
              <w:spacing w:after="0"/>
              <w:rPr>
                <w:sz w:val="20"/>
                <w:szCs w:val="20"/>
                <w:color w:val="auto"/>
              </w:rPr>
            </w:pPr>
            <w:r>
              <w:rPr>
                <w:rFonts w:ascii="Arial" w:cs="Arial" w:eastAsia="Arial" w:hAnsi="Arial"/>
                <w:sz w:val="16"/>
                <w:szCs w:val="16"/>
                <w:color w:val="auto"/>
              </w:rPr>
              <w:t>regular reports on</w:t>
            </w:r>
          </w:p>
        </w:tc>
        <w:tc>
          <w:tcPr>
            <w:tcW w:w="2140" w:type="dxa"/>
            <w:vAlign w:val="bottom"/>
          </w:tcPr>
          <w:p>
            <w:pPr>
              <w:ind w:left="300"/>
              <w:spacing w:after="0"/>
              <w:rPr>
                <w:sz w:val="20"/>
                <w:szCs w:val="20"/>
                <w:color w:val="auto"/>
              </w:rPr>
            </w:pPr>
            <w:r>
              <w:rPr>
                <w:rFonts w:ascii="Arial" w:cs="Arial" w:eastAsia="Arial" w:hAnsi="Arial"/>
                <w:sz w:val="16"/>
                <w:szCs w:val="16"/>
                <w:color w:val="auto"/>
              </w:rPr>
              <w:t>officer compensation</w:t>
            </w:r>
          </w:p>
        </w:tc>
      </w:tr>
      <w:tr>
        <w:trPr>
          <w:trHeight w:val="186"/>
        </w:trPr>
        <w:tc>
          <w:tcPr>
            <w:tcW w:w="2100" w:type="dxa"/>
            <w:vAlign w:val="bottom"/>
          </w:tcPr>
          <w:p>
            <w:pPr>
              <w:spacing w:after="0"/>
              <w:rPr>
                <w:sz w:val="16"/>
                <w:szCs w:val="16"/>
                <w:color w:val="auto"/>
              </w:rPr>
            </w:pPr>
          </w:p>
        </w:tc>
        <w:tc>
          <w:tcPr>
            <w:tcW w:w="2700" w:type="dxa"/>
            <w:vAlign w:val="bottom"/>
          </w:tcPr>
          <w:p>
            <w:pPr>
              <w:ind w:left="400"/>
              <w:spacing w:after="0"/>
              <w:rPr>
                <w:sz w:val="20"/>
                <w:szCs w:val="20"/>
                <w:color w:val="auto"/>
              </w:rPr>
            </w:pPr>
            <w:r>
              <w:rPr>
                <w:rFonts w:ascii="Arial" w:cs="Arial" w:eastAsia="Arial" w:hAnsi="Arial"/>
                <w:sz w:val="16"/>
                <w:szCs w:val="16"/>
                <w:color w:val="auto"/>
              </w:rPr>
              <w:t>ensure that management</w:t>
            </w:r>
          </w:p>
        </w:tc>
        <w:tc>
          <w:tcPr>
            <w:tcW w:w="2440" w:type="dxa"/>
            <w:vAlign w:val="bottom"/>
          </w:tcPr>
          <w:p>
            <w:pPr>
              <w:ind w:left="280"/>
              <w:spacing w:after="0"/>
              <w:rPr>
                <w:sz w:val="20"/>
                <w:szCs w:val="20"/>
                <w:color w:val="auto"/>
              </w:rPr>
            </w:pPr>
            <w:r>
              <w:rPr>
                <w:rFonts w:ascii="Arial" w:cs="Arial" w:eastAsia="Arial" w:hAnsi="Arial"/>
                <w:sz w:val="16"/>
                <w:szCs w:val="16"/>
                <w:color w:val="auto"/>
              </w:rPr>
              <w:t>shareholder comments</w:t>
            </w:r>
          </w:p>
        </w:tc>
        <w:tc>
          <w:tcPr>
            <w:tcW w:w="2140" w:type="dxa"/>
            <w:vAlign w:val="bottom"/>
          </w:tcPr>
          <w:p>
            <w:pPr>
              <w:ind w:left="300"/>
              <w:spacing w:after="0"/>
              <w:rPr>
                <w:sz w:val="20"/>
                <w:szCs w:val="20"/>
                <w:color w:val="auto"/>
              </w:rPr>
            </w:pPr>
            <w:r>
              <w:rPr>
                <w:rFonts w:ascii="Arial" w:cs="Arial" w:eastAsia="Arial" w:hAnsi="Arial"/>
                <w:sz w:val="16"/>
                <w:szCs w:val="16"/>
                <w:color w:val="auto"/>
              </w:rPr>
              <w:t>program and other</w:t>
            </w:r>
          </w:p>
        </w:tc>
      </w:tr>
      <w:tr>
        <w:trPr>
          <w:trHeight w:val="186"/>
        </w:trPr>
        <w:tc>
          <w:tcPr>
            <w:tcW w:w="2100" w:type="dxa"/>
            <w:vAlign w:val="bottom"/>
          </w:tcPr>
          <w:p>
            <w:pPr>
              <w:spacing w:after="0"/>
              <w:rPr>
                <w:sz w:val="16"/>
                <w:szCs w:val="16"/>
                <w:color w:val="auto"/>
              </w:rPr>
            </w:pPr>
          </w:p>
        </w:tc>
        <w:tc>
          <w:tcPr>
            <w:tcW w:w="2700" w:type="dxa"/>
            <w:vAlign w:val="bottom"/>
          </w:tcPr>
          <w:p>
            <w:pPr>
              <w:ind w:left="400"/>
              <w:spacing w:after="0"/>
              <w:rPr>
                <w:sz w:val="20"/>
                <w:szCs w:val="20"/>
                <w:color w:val="auto"/>
              </w:rPr>
            </w:pPr>
            <w:r>
              <w:rPr>
                <w:rFonts w:ascii="Arial" w:cs="Arial" w:eastAsia="Arial" w:hAnsi="Arial"/>
                <w:sz w:val="16"/>
                <w:szCs w:val="16"/>
                <w:color w:val="auto"/>
              </w:rPr>
              <w:t>and the Board understand</w:t>
            </w:r>
          </w:p>
        </w:tc>
        <w:tc>
          <w:tcPr>
            <w:tcW w:w="2440" w:type="dxa"/>
            <w:vAlign w:val="bottom"/>
          </w:tcPr>
          <w:p>
            <w:pPr>
              <w:ind w:left="280"/>
              <w:spacing w:after="0"/>
              <w:rPr>
                <w:sz w:val="20"/>
                <w:szCs w:val="20"/>
                <w:color w:val="auto"/>
              </w:rPr>
            </w:pPr>
            <w:r>
              <w:rPr>
                <w:rFonts w:ascii="Arial" w:cs="Arial" w:eastAsia="Arial" w:hAnsi="Arial"/>
                <w:sz w:val="16"/>
                <w:szCs w:val="16"/>
                <w:color w:val="auto"/>
              </w:rPr>
              <w:t>and feedback. The Board</w:t>
            </w:r>
          </w:p>
        </w:tc>
        <w:tc>
          <w:tcPr>
            <w:tcW w:w="2140" w:type="dxa"/>
            <w:vAlign w:val="bottom"/>
          </w:tcPr>
          <w:p>
            <w:pPr>
              <w:ind w:left="300"/>
              <w:spacing w:after="0"/>
              <w:rPr>
                <w:sz w:val="20"/>
                <w:szCs w:val="20"/>
                <w:color w:val="auto"/>
              </w:rPr>
            </w:pPr>
            <w:r>
              <w:rPr>
                <w:rFonts w:ascii="Arial" w:cs="Arial" w:eastAsia="Arial" w:hAnsi="Arial"/>
                <w:sz w:val="16"/>
                <w:szCs w:val="16"/>
                <w:color w:val="auto"/>
              </w:rPr>
              <w:t>governance matters.</w:t>
            </w:r>
          </w:p>
        </w:tc>
      </w:tr>
      <w:tr>
        <w:trPr>
          <w:trHeight w:val="186"/>
        </w:trPr>
        <w:tc>
          <w:tcPr>
            <w:tcW w:w="2100" w:type="dxa"/>
            <w:vAlign w:val="bottom"/>
          </w:tcPr>
          <w:p>
            <w:pPr>
              <w:spacing w:after="0"/>
              <w:rPr>
                <w:sz w:val="16"/>
                <w:szCs w:val="16"/>
                <w:color w:val="auto"/>
              </w:rPr>
            </w:pPr>
          </w:p>
        </w:tc>
        <w:tc>
          <w:tcPr>
            <w:tcW w:w="2700" w:type="dxa"/>
            <w:vAlign w:val="bottom"/>
          </w:tcPr>
          <w:p>
            <w:pPr>
              <w:ind w:left="400"/>
              <w:spacing w:after="0"/>
              <w:rPr>
                <w:sz w:val="20"/>
                <w:szCs w:val="20"/>
                <w:color w:val="auto"/>
              </w:rPr>
            </w:pPr>
            <w:r>
              <w:rPr>
                <w:rFonts w:ascii="Arial" w:cs="Arial" w:eastAsia="Arial" w:hAnsi="Arial"/>
                <w:sz w:val="16"/>
                <w:szCs w:val="16"/>
                <w:color w:val="auto"/>
              </w:rPr>
              <w:t>and address the issues that</w:t>
            </w:r>
          </w:p>
        </w:tc>
        <w:tc>
          <w:tcPr>
            <w:tcW w:w="2440" w:type="dxa"/>
            <w:vAlign w:val="bottom"/>
          </w:tcPr>
          <w:p>
            <w:pPr>
              <w:ind w:left="280"/>
              <w:spacing w:after="0"/>
              <w:rPr>
                <w:sz w:val="20"/>
                <w:szCs w:val="20"/>
                <w:color w:val="auto"/>
              </w:rPr>
            </w:pPr>
            <w:r>
              <w:rPr>
                <w:rFonts w:ascii="Arial" w:cs="Arial" w:eastAsia="Arial" w:hAnsi="Arial"/>
                <w:sz w:val="16"/>
                <w:szCs w:val="16"/>
                <w:color w:val="auto"/>
              </w:rPr>
              <w:t>encourages dialogue on</w:t>
            </w:r>
          </w:p>
        </w:tc>
        <w:tc>
          <w:tcPr>
            <w:tcW w:w="2140" w:type="dxa"/>
            <w:vAlign w:val="bottom"/>
          </w:tcPr>
          <w:p>
            <w:pPr>
              <w:spacing w:after="0"/>
              <w:rPr>
                <w:sz w:val="16"/>
                <w:szCs w:val="16"/>
                <w:color w:val="auto"/>
              </w:rPr>
            </w:pPr>
          </w:p>
        </w:tc>
      </w:tr>
      <w:tr>
        <w:trPr>
          <w:trHeight w:val="186"/>
        </w:trPr>
        <w:tc>
          <w:tcPr>
            <w:tcW w:w="2100" w:type="dxa"/>
            <w:vAlign w:val="bottom"/>
          </w:tcPr>
          <w:p>
            <w:pPr>
              <w:spacing w:after="0"/>
              <w:rPr>
                <w:sz w:val="16"/>
                <w:szCs w:val="16"/>
                <w:color w:val="auto"/>
              </w:rPr>
            </w:pPr>
          </w:p>
        </w:tc>
        <w:tc>
          <w:tcPr>
            <w:tcW w:w="2700" w:type="dxa"/>
            <w:vAlign w:val="bottom"/>
          </w:tcPr>
          <w:p>
            <w:pPr>
              <w:ind w:left="400"/>
              <w:spacing w:after="0"/>
              <w:rPr>
                <w:sz w:val="20"/>
                <w:szCs w:val="20"/>
                <w:color w:val="auto"/>
              </w:rPr>
            </w:pPr>
            <w:r>
              <w:rPr>
                <w:rFonts w:ascii="Arial" w:cs="Arial" w:eastAsia="Arial" w:hAnsi="Arial"/>
                <w:sz w:val="16"/>
                <w:szCs w:val="16"/>
                <w:color w:val="auto"/>
              </w:rPr>
              <w:t>are important to our</w:t>
            </w:r>
          </w:p>
        </w:tc>
        <w:tc>
          <w:tcPr>
            <w:tcW w:w="2440" w:type="dxa"/>
            <w:vAlign w:val="bottom"/>
          </w:tcPr>
          <w:p>
            <w:pPr>
              <w:ind w:left="280"/>
              <w:spacing w:after="0"/>
              <w:rPr>
                <w:sz w:val="20"/>
                <w:szCs w:val="20"/>
                <w:color w:val="auto"/>
              </w:rPr>
            </w:pPr>
            <w:r>
              <w:rPr>
                <w:rFonts w:ascii="Arial" w:cs="Arial" w:eastAsia="Arial" w:hAnsi="Arial"/>
                <w:sz w:val="16"/>
                <w:szCs w:val="16"/>
                <w:color w:val="auto"/>
              </w:rPr>
              <w:t>issues of interest to</w:t>
            </w:r>
          </w:p>
        </w:tc>
        <w:tc>
          <w:tcPr>
            <w:tcW w:w="2140" w:type="dxa"/>
            <w:vAlign w:val="bottom"/>
          </w:tcPr>
          <w:p>
            <w:pPr>
              <w:spacing w:after="0"/>
              <w:rPr>
                <w:sz w:val="16"/>
                <w:szCs w:val="16"/>
                <w:color w:val="auto"/>
              </w:rPr>
            </w:pPr>
          </w:p>
        </w:tc>
      </w:tr>
      <w:tr>
        <w:trPr>
          <w:trHeight w:val="193"/>
        </w:trPr>
        <w:tc>
          <w:tcPr>
            <w:tcW w:w="2100" w:type="dxa"/>
            <w:vAlign w:val="bottom"/>
          </w:tcPr>
          <w:p>
            <w:pPr>
              <w:spacing w:after="0"/>
              <w:rPr>
                <w:sz w:val="16"/>
                <w:szCs w:val="16"/>
                <w:color w:val="auto"/>
              </w:rPr>
            </w:pPr>
          </w:p>
        </w:tc>
        <w:tc>
          <w:tcPr>
            <w:tcW w:w="2700" w:type="dxa"/>
            <w:vAlign w:val="bottom"/>
          </w:tcPr>
          <w:p>
            <w:pPr>
              <w:ind w:left="400"/>
              <w:spacing w:after="0"/>
              <w:rPr>
                <w:sz w:val="20"/>
                <w:szCs w:val="20"/>
                <w:color w:val="auto"/>
              </w:rPr>
            </w:pPr>
            <w:r>
              <w:rPr>
                <w:rFonts w:ascii="Arial" w:cs="Arial" w:eastAsia="Arial" w:hAnsi="Arial"/>
                <w:sz w:val="16"/>
                <w:szCs w:val="16"/>
                <w:color w:val="auto"/>
              </w:rPr>
              <w:t>shareholders.</w:t>
            </w:r>
          </w:p>
        </w:tc>
        <w:tc>
          <w:tcPr>
            <w:tcW w:w="2440" w:type="dxa"/>
            <w:vAlign w:val="bottom"/>
          </w:tcPr>
          <w:p>
            <w:pPr>
              <w:ind w:left="280"/>
              <w:spacing w:after="0"/>
              <w:rPr>
                <w:sz w:val="20"/>
                <w:szCs w:val="20"/>
                <w:color w:val="auto"/>
              </w:rPr>
            </w:pPr>
            <w:r>
              <w:rPr>
                <w:rFonts w:ascii="Arial" w:cs="Arial" w:eastAsia="Arial" w:hAnsi="Arial"/>
                <w:sz w:val="16"/>
                <w:szCs w:val="16"/>
                <w:color w:val="auto"/>
              </w:rPr>
              <w:t>shareholders.</w:t>
            </w:r>
          </w:p>
        </w:tc>
        <w:tc>
          <w:tcPr>
            <w:tcW w:w="214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8"/>
          <w:szCs w:val="28"/>
          <w:color w:val="009A4B"/>
        </w:rPr>
        <w:t>Shareholder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225"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36" w:lineRule="exact"/>
        <w:rPr>
          <w:sz w:val="20"/>
          <w:szCs w:val="20"/>
          <w:color w:val="auto"/>
        </w:rPr>
      </w:pPr>
    </w:p>
    <w:p>
      <w:pPr>
        <w:ind w:right="480"/>
        <w:spacing w:after="0" w:line="254" w:lineRule="auto"/>
        <w:rPr>
          <w:sz w:val="20"/>
          <w:szCs w:val="20"/>
          <w:color w:val="auto"/>
        </w:rPr>
      </w:pPr>
      <w:r>
        <w:rPr>
          <w:rFonts w:ascii="Arial" w:cs="Arial" w:eastAsia="Arial" w:hAnsi="Arial"/>
          <w:sz w:val="16"/>
          <w:szCs w:val="16"/>
          <w:color w:val="auto"/>
        </w:rPr>
        <w:t>Shareholders and other interested parties may communicate with the independent directors by sending a written communication in care of the Corporate Secretary to:</w:t>
      </w:r>
    </w:p>
    <w:p>
      <w:pPr>
        <w:spacing w:after="0" w:line="123"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009844"/>
        </w:rPr>
        <w:t>Air Products and Chemicals,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337820" cy="24511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37820" cy="245110"/>
                    </a:xfrm>
                    <a:prstGeom prst="rect">
                      <a:avLst/>
                    </a:prstGeom>
                    <a:noFill/>
                  </pic:spPr>
                </pic:pic>
              </a:graphicData>
            </a:graphic>
          </wp:anchor>
        </w:drawing>
      </w:r>
    </w:p>
    <w:p>
      <w:pPr>
        <w:spacing w:after="0" w:line="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1940 Air Products Boulevard</w:t>
      </w:r>
    </w:p>
    <w:p>
      <w:pPr>
        <w:spacing w:after="0" w:line="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Allentown, PA 18106-5500</w:t>
      </w:r>
    </w:p>
    <w:p>
      <w:pPr>
        <w:spacing w:after="0" w:line="162"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auto"/>
        </w:rPr>
        <w:t>The Board has adopted a written procedure for collecting, organizing and forwarding direct communications from shareholders and other interested parties to the independent directors. A copy of the procedure is available upon request from the Corporate Secretary’s Office.</w:t>
      </w:r>
    </w:p>
    <w:p>
      <w:pPr>
        <w:spacing w:after="0" w:line="12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7155180" cy="209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35"/>
          <w:szCs w:val="35"/>
          <w:color w:val="009844"/>
        </w:rPr>
        <w:t>Board Structure</w:t>
      </w:r>
    </w:p>
    <w:p>
      <w:pPr>
        <w:spacing w:after="0" w:line="221" w:lineRule="exact"/>
        <w:rPr>
          <w:sz w:val="20"/>
          <w:szCs w:val="20"/>
          <w:color w:val="auto"/>
        </w:rPr>
      </w:pPr>
    </w:p>
    <w:p>
      <w:pPr>
        <w:spacing w:after="0"/>
        <w:rPr>
          <w:sz w:val="20"/>
          <w:szCs w:val="20"/>
          <w:color w:val="auto"/>
        </w:rPr>
      </w:pPr>
      <w:r>
        <w:rPr>
          <w:rFonts w:ascii="Arial" w:cs="Arial" w:eastAsia="Arial" w:hAnsi="Arial"/>
          <w:sz w:val="28"/>
          <w:szCs w:val="28"/>
          <w:color w:val="009A4B"/>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225"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36"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The Board does not have a policy on whether the roles of Chairman of the Board and CEO should be separate or whether the Chairman of the Board should be independent. The Board determines which structure is in the best interests of the Company at any given time.</w:t>
      </w:r>
    </w:p>
    <w:p>
      <w:pPr>
        <w:spacing w:after="0" w:line="143"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At present Mr. Ghasemi serves as both CEO and Chairman of the Board, and the Board has an independent Lead Director. The Board decided to combine the CEO and Chairman roles because it has a high level of confidence in Mr. Ghasemi’s leadership and willingness to work closely and transparently with the independent directors. The Board believes the Company is best served at this time by unified leadership of operations and oversight of the Company, which ensures that the Board and management act with common purpose. Finally, the Board is satisfied that the independent directors have ample opportunities to execute their responsibilities independently through numerous executive sessions held throughout the year at both the Board and committee levels. The independent directors also have substantial interactions with members of the management team other than the CEO and operate under the leadership of the Lead Director and the committee Chairs. The responsibilities of the Lead Director are described below.</w:t>
      </w:r>
    </w:p>
    <w:p>
      <w:pPr>
        <w:spacing w:after="0" w:line="202" w:lineRule="exact"/>
        <w:rPr>
          <w:sz w:val="20"/>
          <w:szCs w:val="20"/>
          <w:color w:val="auto"/>
        </w:rPr>
      </w:pPr>
    </w:p>
    <w:p>
      <w:pPr>
        <w:spacing w:after="0"/>
        <w:rPr>
          <w:sz w:val="20"/>
          <w:szCs w:val="20"/>
          <w:color w:val="auto"/>
        </w:rPr>
      </w:pPr>
      <w:r>
        <w:rPr>
          <w:rFonts w:ascii="Arial" w:cs="Arial" w:eastAsia="Arial" w:hAnsi="Arial"/>
          <w:sz w:val="28"/>
          <w:szCs w:val="28"/>
          <w:color w:val="009A4B"/>
        </w:rPr>
        <w:t>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225"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The Lead Director is elected annually by majority vote of the Board upon the nomination of the Corporate Governance and Nominating Committee.</w:t>
      </w:r>
    </w:p>
    <w:p>
      <w:pPr>
        <w:spacing w:after="0" w:line="162" w:lineRule="exact"/>
        <w:rPr>
          <w:sz w:val="20"/>
          <w:szCs w:val="20"/>
          <w:color w:val="auto"/>
        </w:rPr>
      </w:pPr>
    </w:p>
    <w:p>
      <w:pPr>
        <w:ind w:right="80"/>
        <w:spacing w:after="0" w:line="287" w:lineRule="auto"/>
        <w:rPr>
          <w:sz w:val="20"/>
          <w:szCs w:val="20"/>
          <w:color w:val="auto"/>
        </w:rPr>
      </w:pPr>
      <w:r>
        <w:rPr>
          <w:rFonts w:ascii="Arial" w:cs="Arial" w:eastAsia="Arial" w:hAnsi="Arial"/>
          <w:sz w:val="15"/>
          <w:szCs w:val="15"/>
          <w:color w:val="auto"/>
        </w:rPr>
        <w:t>Mr. Monser is serving as our Lead Director. In November 2021, the Board, considering Mr. Monser’s tenure on the Board, prior experience and the leadership he has displayed, reelected Mr. Monser as Lead Director effective at the conclusion of the Annual Meeting. Mr. Monser is an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74930</wp:posOffset>
            </wp:positionV>
            <wp:extent cx="7134225" cy="77787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34225" cy="777875"/>
                    </a:xfrm>
                    <a:prstGeom prst="rect">
                      <a:avLst/>
                    </a:prstGeom>
                    <a:noFill/>
                  </pic:spPr>
                </pic:pic>
              </a:graphicData>
            </a:graphic>
          </wp:anchor>
        </w:drawing>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 Guidelines provide that the Lead Director’s responsibilities include:</w:t>
      </w:r>
    </w:p>
    <w:p>
      <w:pPr>
        <w:spacing w:after="0" w:line="109" w:lineRule="exact"/>
        <w:rPr>
          <w:sz w:val="20"/>
          <w:szCs w:val="20"/>
          <w:color w:val="auto"/>
        </w:rPr>
      </w:pPr>
    </w:p>
    <w:p>
      <w:pPr>
        <w:ind w:left="480" w:hanging="206"/>
        <w:spacing w:after="0"/>
        <w:tabs>
          <w:tab w:leader="none" w:pos="480" w:val="left"/>
        </w:tabs>
        <w:numPr>
          <w:ilvl w:val="0"/>
          <w:numId w:val="18"/>
        </w:numPr>
        <w:rPr>
          <w:rFonts w:ascii="Arial" w:cs="Arial" w:eastAsia="Arial" w:hAnsi="Arial"/>
          <w:sz w:val="16"/>
          <w:szCs w:val="16"/>
          <w:color w:val="009844"/>
        </w:rPr>
      </w:pPr>
      <w:r>
        <w:rPr>
          <w:rFonts w:ascii="Arial" w:cs="Arial" w:eastAsia="Arial" w:hAnsi="Arial"/>
          <w:sz w:val="16"/>
          <w:szCs w:val="16"/>
          <w:color w:val="auto"/>
        </w:rPr>
        <w:t>presiding at executive sessions of the Board and any other time the Chairman is not present and communicating feedback to the CEO;</w:t>
      </w:r>
    </w:p>
    <w:p>
      <w:pPr>
        <w:spacing w:after="0" w:line="108" w:lineRule="exact"/>
        <w:rPr>
          <w:rFonts w:ascii="Arial" w:cs="Arial" w:eastAsia="Arial" w:hAnsi="Arial"/>
          <w:sz w:val="16"/>
          <w:szCs w:val="16"/>
          <w:color w:val="009844"/>
        </w:rPr>
      </w:pPr>
    </w:p>
    <w:p>
      <w:pPr>
        <w:ind w:left="480" w:hanging="206"/>
        <w:spacing w:after="0"/>
        <w:tabs>
          <w:tab w:leader="none" w:pos="480" w:val="left"/>
        </w:tabs>
        <w:numPr>
          <w:ilvl w:val="0"/>
          <w:numId w:val="18"/>
        </w:numPr>
        <w:rPr>
          <w:rFonts w:ascii="Arial" w:cs="Arial" w:eastAsia="Arial" w:hAnsi="Arial"/>
          <w:sz w:val="16"/>
          <w:szCs w:val="16"/>
          <w:color w:val="009844"/>
        </w:rPr>
      </w:pPr>
      <w:r>
        <w:rPr>
          <w:rFonts w:ascii="Arial" w:cs="Arial" w:eastAsia="Arial" w:hAnsi="Arial"/>
          <w:sz w:val="16"/>
          <w:szCs w:val="16"/>
          <w:color w:val="auto"/>
        </w:rPr>
        <w:t>determining the agenda for executive sessions of non-management directors; and</w:t>
      </w:r>
    </w:p>
    <w:p>
      <w:pPr>
        <w:spacing w:after="0" w:line="108" w:lineRule="exact"/>
        <w:rPr>
          <w:rFonts w:ascii="Arial" w:cs="Arial" w:eastAsia="Arial" w:hAnsi="Arial"/>
          <w:sz w:val="16"/>
          <w:szCs w:val="16"/>
          <w:color w:val="009844"/>
        </w:rPr>
      </w:pPr>
    </w:p>
    <w:p>
      <w:pPr>
        <w:ind w:left="480" w:hanging="206"/>
        <w:spacing w:after="0"/>
        <w:tabs>
          <w:tab w:leader="none" w:pos="480" w:val="left"/>
        </w:tabs>
        <w:numPr>
          <w:ilvl w:val="0"/>
          <w:numId w:val="18"/>
        </w:numPr>
        <w:rPr>
          <w:rFonts w:ascii="Arial" w:cs="Arial" w:eastAsia="Arial" w:hAnsi="Arial"/>
          <w:sz w:val="16"/>
          <w:szCs w:val="16"/>
          <w:color w:val="009844"/>
        </w:rPr>
      </w:pPr>
      <w:r>
        <w:rPr>
          <w:rFonts w:ascii="Arial" w:cs="Arial" w:eastAsia="Arial" w:hAnsi="Arial"/>
          <w:sz w:val="16"/>
          <w:szCs w:val="16"/>
          <w:color w:val="auto"/>
        </w:rPr>
        <w:t>possessing the principal authority to convene a meeting of independent directors.</w:t>
      </w:r>
    </w:p>
    <w:p>
      <w:pPr>
        <w:spacing w:after="0" w:line="289" w:lineRule="exact"/>
        <w:rPr>
          <w:sz w:val="20"/>
          <w:szCs w:val="20"/>
          <w:color w:val="auto"/>
        </w:rPr>
      </w:pPr>
    </w:p>
    <w:p>
      <w:pPr>
        <w:spacing w:after="0"/>
        <w:rPr>
          <w:sz w:val="20"/>
          <w:szCs w:val="20"/>
          <w:color w:val="auto"/>
        </w:rPr>
      </w:pPr>
      <w:r>
        <w:rPr>
          <w:rFonts w:ascii="Arial" w:cs="Arial" w:eastAsia="Arial" w:hAnsi="Arial"/>
          <w:sz w:val="28"/>
          <w:szCs w:val="28"/>
          <w:color w:val="009A4B"/>
        </w:rPr>
        <w:t>Executive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225"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36"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The independent directors regularly meet without the CEO and other members of management in executive sessions that are scheduled to occur at each Board meeting. In addition, the CEO’s performance review is conducted in executive session and the Board committees regularly meet in executive session. Board executive sessions are led by the Lead Director.</w:t>
      </w:r>
    </w:p>
    <w:p>
      <w:pPr>
        <w:spacing w:after="0" w:line="196" w:lineRule="exact"/>
        <w:rPr>
          <w:sz w:val="20"/>
          <w:szCs w:val="20"/>
          <w:color w:val="auto"/>
        </w:rPr>
      </w:pPr>
    </w:p>
    <w:p>
      <w:pPr>
        <w:spacing w:after="0"/>
        <w:rPr>
          <w:sz w:val="20"/>
          <w:szCs w:val="20"/>
          <w:color w:val="auto"/>
        </w:rPr>
      </w:pPr>
      <w:r>
        <w:rPr>
          <w:rFonts w:ascii="Arial" w:cs="Arial" w:eastAsia="Arial" w:hAnsi="Arial"/>
          <w:sz w:val="28"/>
          <w:szCs w:val="28"/>
          <w:color w:val="009A4B"/>
        </w:rPr>
        <w:t>Standing 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225"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36" w:lineRule="exact"/>
        <w:rPr>
          <w:sz w:val="20"/>
          <w:szCs w:val="20"/>
          <w:color w:val="auto"/>
        </w:rPr>
      </w:pPr>
    </w:p>
    <w:p>
      <w:pPr>
        <w:ind w:right="80"/>
        <w:spacing w:after="0" w:line="245" w:lineRule="auto"/>
        <w:rPr>
          <w:sz w:val="20"/>
          <w:szCs w:val="20"/>
          <w:color w:val="auto"/>
        </w:rPr>
      </w:pPr>
      <w:r>
        <w:rPr>
          <w:rFonts w:ascii="Arial" w:cs="Arial" w:eastAsia="Arial" w:hAnsi="Arial"/>
          <w:sz w:val="16"/>
          <w:szCs w:val="16"/>
          <w:color w:val="auto"/>
        </w:rPr>
        <w:t>The Board has three standing committees, which operate under written charters approved by the Board: Audit and Finance; Corporate Governance and Nominating; and Management Development and Compensation. In accordance with NYSE listing standards, none of the directors who serve on these committees have ever been employed by the Company, and the Board has determined in its business judgment that all of them are “independent” from the Company and its management in accordance with the Guidelines described above in “Director Independence” as well as with additional NYSE listing criteria and SEC requirements that are applicable to members of the Audit and Finance and Management Development and Compensation Committees. Our Bylaws also provide for an Executive Committee, which is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7134225" cy="45656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34225" cy="456565"/>
                    </a:xfrm>
                    <a:prstGeom prst="rect">
                      <a:avLst/>
                    </a:prstGeom>
                    <a:noFill/>
                  </pic:spPr>
                </pic:pic>
              </a:graphicData>
            </a:graphic>
          </wp:anchor>
        </w:drawing>
      </w:r>
    </w:p>
    <w:p>
      <w:pPr>
        <w:spacing w:after="0" w:line="211" w:lineRule="exact"/>
        <w:rPr>
          <w:sz w:val="20"/>
          <w:szCs w:val="20"/>
          <w:color w:val="auto"/>
        </w:rPr>
      </w:pPr>
    </w:p>
    <w:p>
      <w:pPr>
        <w:ind w:left="100" w:right="780"/>
        <w:spacing w:after="0" w:line="248" w:lineRule="auto"/>
        <w:rPr>
          <w:sz w:val="20"/>
          <w:szCs w:val="20"/>
          <w:color w:val="auto"/>
        </w:rPr>
      </w:pPr>
      <w:r>
        <w:rPr>
          <w:rFonts w:ascii="Arial" w:cs="Arial" w:eastAsia="Arial" w:hAnsi="Arial"/>
          <w:sz w:val="16"/>
          <w:szCs w:val="16"/>
          <w:color w:val="auto"/>
        </w:rPr>
        <w:t xml:space="preserve">The charters of the Audit and Finance Committee, the Corporate Governance and Nominating Committee and the Management Development and Compensation Committee can be viewed on the Company’s website at </w:t>
      </w:r>
      <w:r>
        <w:rPr>
          <w:rFonts w:ascii="Arial" w:cs="Arial" w:eastAsia="Arial" w:hAnsi="Arial"/>
          <w:sz w:val="16"/>
          <w:szCs w:val="16"/>
          <w:i w:val="1"/>
          <w:iCs w:val="1"/>
          <w:color w:val="009844"/>
        </w:rPr>
        <w:t xml:space="preserve">www.airproducts.com/company/governance/board-of-directors/standing-committees.aspx </w:t>
      </w:r>
      <w:r>
        <w:rPr>
          <w:rFonts w:ascii="Arial" w:cs="Arial" w:eastAsia="Arial" w:hAnsi="Arial"/>
          <w:sz w:val="16"/>
          <w:szCs w:val="16"/>
          <w:color w:val="000000"/>
        </w:rPr>
        <w:t>and are available in print to any shareholder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254000</wp:posOffset>
            </wp:positionV>
            <wp:extent cx="845185" cy="20256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45185" cy="20256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7155180" cy="209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64C28B"/>
        </w:rPr>
        <w:t>Audit and Finance Committee</w:t>
      </w:r>
    </w:p>
    <w:p>
      <w:pPr>
        <w:spacing w:after="0" w:line="358"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9844"/>
        </w:rPr>
        <w:t>Members</w:t>
      </w:r>
    </w:p>
    <w:p>
      <w:pPr>
        <w:spacing w:after="0" w:line="22" w:lineRule="exact"/>
        <w:rPr>
          <w:sz w:val="20"/>
          <w:szCs w:val="20"/>
          <w:color w:val="auto"/>
        </w:rPr>
      </w:pPr>
    </w:p>
    <w:p>
      <w:pPr>
        <w:ind w:left="400" w:hanging="145"/>
        <w:spacing w:after="0"/>
        <w:tabs>
          <w:tab w:leader="none" w:pos="400" w:val="left"/>
        </w:tabs>
        <w:numPr>
          <w:ilvl w:val="0"/>
          <w:numId w:val="19"/>
        </w:numPr>
        <w:rPr>
          <w:rFonts w:ascii="Arial" w:cs="Arial" w:eastAsia="Arial" w:hAnsi="Arial"/>
          <w:sz w:val="16"/>
          <w:szCs w:val="16"/>
          <w:b w:val="1"/>
          <w:bCs w:val="1"/>
          <w:color w:val="009844"/>
        </w:rPr>
      </w:pPr>
      <w:r>
        <w:rPr>
          <w:rFonts w:ascii="Arial" w:cs="Arial" w:eastAsia="Arial" w:hAnsi="Arial"/>
          <w:sz w:val="16"/>
          <w:szCs w:val="16"/>
          <w:b w:val="1"/>
          <w:bCs w:val="1"/>
          <w:color w:val="auto"/>
        </w:rPr>
        <w:t>Matthew H. Paull (Chair)</w:t>
      </w:r>
    </w:p>
    <w:p>
      <w:pPr>
        <w:spacing w:after="0" w:line="2" w:lineRule="exact"/>
        <w:rPr>
          <w:rFonts w:ascii="Arial" w:cs="Arial" w:eastAsia="Arial" w:hAnsi="Arial"/>
          <w:sz w:val="16"/>
          <w:szCs w:val="16"/>
          <w:b w:val="1"/>
          <w:bCs w:val="1"/>
          <w:color w:val="009844"/>
        </w:rPr>
      </w:pPr>
    </w:p>
    <w:p>
      <w:pPr>
        <w:ind w:left="400" w:hanging="145"/>
        <w:spacing w:after="0"/>
        <w:tabs>
          <w:tab w:leader="none" w:pos="400" w:val="left"/>
        </w:tabs>
        <w:numPr>
          <w:ilvl w:val="0"/>
          <w:numId w:val="19"/>
        </w:numPr>
        <w:rPr>
          <w:rFonts w:ascii="Arial" w:cs="Arial" w:eastAsia="Arial" w:hAnsi="Arial"/>
          <w:sz w:val="16"/>
          <w:szCs w:val="16"/>
          <w:b w:val="1"/>
          <w:bCs w:val="1"/>
          <w:color w:val="009844"/>
        </w:rPr>
      </w:pPr>
      <w:r>
        <w:rPr>
          <w:rFonts w:ascii="Arial" w:cs="Arial" w:eastAsia="Arial" w:hAnsi="Arial"/>
          <w:sz w:val="16"/>
          <w:szCs w:val="16"/>
          <w:color w:val="auto"/>
        </w:rPr>
        <w:t>Charles I. Cogut</w:t>
      </w:r>
    </w:p>
    <w:p>
      <w:pPr>
        <w:spacing w:after="0" w:line="2" w:lineRule="exact"/>
        <w:rPr>
          <w:rFonts w:ascii="Arial" w:cs="Arial" w:eastAsia="Arial" w:hAnsi="Arial"/>
          <w:sz w:val="16"/>
          <w:szCs w:val="16"/>
          <w:b w:val="1"/>
          <w:bCs w:val="1"/>
          <w:color w:val="009844"/>
        </w:rPr>
      </w:pPr>
    </w:p>
    <w:p>
      <w:pPr>
        <w:ind w:left="400" w:hanging="145"/>
        <w:spacing w:after="0"/>
        <w:tabs>
          <w:tab w:leader="none" w:pos="400" w:val="left"/>
        </w:tabs>
        <w:numPr>
          <w:ilvl w:val="0"/>
          <w:numId w:val="19"/>
        </w:numPr>
        <w:rPr>
          <w:rFonts w:ascii="Arial" w:cs="Arial" w:eastAsia="Arial" w:hAnsi="Arial"/>
          <w:sz w:val="16"/>
          <w:szCs w:val="16"/>
          <w:b w:val="1"/>
          <w:bCs w:val="1"/>
          <w:color w:val="009844"/>
        </w:rPr>
      </w:pPr>
      <w:r>
        <w:rPr>
          <w:rFonts w:ascii="Arial" w:cs="Arial" w:eastAsia="Arial" w:hAnsi="Arial"/>
          <w:sz w:val="16"/>
          <w:szCs w:val="16"/>
          <w:color w:val="auto"/>
        </w:rPr>
        <w:t>David H.Y. Ho</w:t>
      </w:r>
    </w:p>
    <w:p>
      <w:pPr>
        <w:spacing w:after="0" w:line="2" w:lineRule="exact"/>
        <w:rPr>
          <w:rFonts w:ascii="Arial" w:cs="Arial" w:eastAsia="Arial" w:hAnsi="Arial"/>
          <w:sz w:val="16"/>
          <w:szCs w:val="16"/>
          <w:b w:val="1"/>
          <w:bCs w:val="1"/>
          <w:color w:val="009844"/>
        </w:rPr>
      </w:pPr>
    </w:p>
    <w:p>
      <w:pPr>
        <w:ind w:left="400" w:hanging="145"/>
        <w:spacing w:after="0"/>
        <w:tabs>
          <w:tab w:leader="none" w:pos="400" w:val="left"/>
        </w:tabs>
        <w:numPr>
          <w:ilvl w:val="0"/>
          <w:numId w:val="19"/>
        </w:numPr>
        <w:rPr>
          <w:rFonts w:ascii="Arial" w:cs="Arial" w:eastAsia="Arial" w:hAnsi="Arial"/>
          <w:sz w:val="16"/>
          <w:szCs w:val="16"/>
          <w:b w:val="1"/>
          <w:bCs w:val="1"/>
          <w:color w:val="009844"/>
        </w:rPr>
      </w:pPr>
      <w:r>
        <w:rPr>
          <w:rFonts w:ascii="Arial" w:cs="Arial" w:eastAsia="Arial" w:hAnsi="Arial"/>
          <w:sz w:val="16"/>
          <w:szCs w:val="16"/>
          <w:color w:val="auto"/>
        </w:rPr>
        <w:t>Wayne T. Smith</w:t>
      </w:r>
    </w:p>
    <w:p>
      <w:pPr>
        <w:spacing w:after="0" w:line="162" w:lineRule="exact"/>
        <w:rPr>
          <w:sz w:val="20"/>
          <w:szCs w:val="20"/>
          <w:color w:val="auto"/>
        </w:rPr>
      </w:pPr>
    </w:p>
    <w:p>
      <w:pPr>
        <w:ind w:left="140"/>
        <w:spacing w:after="0" w:line="263" w:lineRule="auto"/>
        <w:rPr>
          <w:sz w:val="20"/>
          <w:szCs w:val="20"/>
          <w:color w:val="auto"/>
        </w:rPr>
      </w:pPr>
      <w:r>
        <w:rPr>
          <w:rFonts w:ascii="Arial" w:cs="Arial" w:eastAsia="Arial" w:hAnsi="Arial"/>
          <w:sz w:val="15"/>
          <w:szCs w:val="15"/>
          <w:color w:val="auto"/>
        </w:rPr>
        <w:t>The Board has determined that all of the Audit and Finance Committee members are “financially literate” and that Mr. Paull qualifies as an “audit committee financial expert” as defined by NYSE listing standards and U.S. Securities and Exchange Commission (“SEC”) regulations, respectively.</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Fiscal 2021 Meetings: </w:t>
      </w:r>
      <w:r>
        <w:rPr>
          <w:rFonts w:ascii="Arial" w:cs="Arial" w:eastAsia="Arial" w:hAnsi="Arial"/>
          <w:sz w:val="16"/>
          <w:szCs w:val="16"/>
          <w:b w:val="1"/>
          <w:bCs w:val="1"/>
          <w:color w:val="009844"/>
        </w:rPr>
        <w:t>8</w:t>
      </w:r>
    </w:p>
    <w:p>
      <w:pPr>
        <w:spacing w:after="0" w:line="16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Committee Report: </w:t>
      </w:r>
      <w:r>
        <w:rPr>
          <w:rFonts w:ascii="Arial" w:cs="Arial" w:eastAsia="Arial" w:hAnsi="Arial"/>
          <w:sz w:val="16"/>
          <w:szCs w:val="16"/>
          <w:b w:val="1"/>
          <w:bCs w:val="1"/>
          <w:color w:val="009844"/>
        </w:rPr>
        <w:t>Page 62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009844"/>
        </w:rPr>
        <w:t>Primary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-2497455</wp:posOffset>
            </wp:positionH>
            <wp:positionV relativeFrom="paragraph">
              <wp:posOffset>-206375</wp:posOffset>
            </wp:positionV>
            <wp:extent cx="7134225" cy="23329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34225" cy="2332990"/>
                    </a:xfrm>
                    <a:prstGeom prst="rect">
                      <a:avLst/>
                    </a:prstGeom>
                    <a:noFill/>
                  </pic:spPr>
                </pic:pic>
              </a:graphicData>
            </a:graphic>
          </wp:anchor>
        </w:drawing>
      </w:r>
    </w:p>
    <w:p>
      <w:pPr>
        <w:spacing w:after="0" w:line="2" w:lineRule="exact"/>
        <w:rPr>
          <w:sz w:val="20"/>
          <w:szCs w:val="20"/>
          <w:color w:val="auto"/>
        </w:rPr>
      </w:pPr>
    </w:p>
    <w:p>
      <w:pPr>
        <w:ind w:left="280" w:right="140" w:hanging="149"/>
        <w:spacing w:after="0" w:line="243" w:lineRule="auto"/>
        <w:tabs>
          <w:tab w:leader="none" w:pos="283" w:val="left"/>
        </w:tabs>
        <w:numPr>
          <w:ilvl w:val="0"/>
          <w:numId w:val="20"/>
        </w:numPr>
        <w:rPr>
          <w:rFonts w:ascii="Arial" w:cs="Arial" w:eastAsia="Arial" w:hAnsi="Arial"/>
          <w:sz w:val="16"/>
          <w:szCs w:val="16"/>
          <w:b w:val="1"/>
          <w:bCs w:val="1"/>
          <w:color w:val="009844"/>
        </w:rPr>
      </w:pPr>
      <w:r>
        <w:rPr>
          <w:rFonts w:ascii="Arial" w:cs="Arial" w:eastAsia="Arial" w:hAnsi="Arial"/>
          <w:sz w:val="16"/>
          <w:szCs w:val="16"/>
          <w:color w:val="auto"/>
        </w:rPr>
        <w:t>The Committee is directly responsible for the appointment, compensation, retention and oversight of the independent registered public accounting firm retained to audit the Company’s financial statements.</w:t>
      </w:r>
    </w:p>
    <w:p>
      <w:pPr>
        <w:ind w:left="280" w:right="120" w:hanging="149"/>
        <w:spacing w:after="0" w:line="243" w:lineRule="auto"/>
        <w:tabs>
          <w:tab w:leader="none" w:pos="283" w:val="left"/>
        </w:tabs>
        <w:numPr>
          <w:ilvl w:val="0"/>
          <w:numId w:val="20"/>
        </w:numPr>
        <w:rPr>
          <w:rFonts w:ascii="Arial" w:cs="Arial" w:eastAsia="Arial" w:hAnsi="Arial"/>
          <w:sz w:val="16"/>
          <w:szCs w:val="16"/>
          <w:b w:val="1"/>
          <w:bCs w:val="1"/>
          <w:color w:val="009844"/>
        </w:rPr>
      </w:pPr>
      <w:r>
        <w:rPr>
          <w:rFonts w:ascii="Arial" w:cs="Arial" w:eastAsia="Arial" w:hAnsi="Arial"/>
          <w:sz w:val="16"/>
          <w:szCs w:val="16"/>
          <w:color w:val="auto"/>
        </w:rPr>
        <w:t>The Committee provides oversight of the Company’s external financial reporting process, all systems and processes relating to the integrity of financial statements, internal audit process, programs for compliance with laws and regulations and our Code of Conduct and Business Ethics (the “Code of Conduct”) and enterprise processes for risk assessment and management.</w:t>
      </w:r>
    </w:p>
    <w:p>
      <w:pPr>
        <w:ind w:left="280" w:right="80" w:hanging="149"/>
        <w:spacing w:after="0" w:line="245" w:lineRule="auto"/>
        <w:tabs>
          <w:tab w:leader="none" w:pos="283" w:val="left"/>
        </w:tabs>
        <w:numPr>
          <w:ilvl w:val="0"/>
          <w:numId w:val="20"/>
        </w:numPr>
        <w:rPr>
          <w:rFonts w:ascii="Arial" w:cs="Arial" w:eastAsia="Arial" w:hAnsi="Arial"/>
          <w:sz w:val="16"/>
          <w:szCs w:val="16"/>
          <w:b w:val="1"/>
          <w:bCs w:val="1"/>
          <w:color w:val="009844"/>
        </w:rPr>
      </w:pPr>
      <w:r>
        <w:rPr>
          <w:rFonts w:ascii="Arial" w:cs="Arial" w:eastAsia="Arial" w:hAnsi="Arial"/>
          <w:sz w:val="16"/>
          <w:szCs w:val="16"/>
          <w:color w:val="auto"/>
        </w:rPr>
        <w:t>The Committee discusses with the Company’s Internal Audit function and independent registered public accounting firm the overall scope and plans for their respective audits. In addition, the Committee regularly meets with Internal Audit and the Company’s independent registered public accounting firm, with and without management present, to discuss the results of their respective audits, their respective evaluations of the Company’s internal controls and the overall quality of the Company’s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009844"/>
        </w:rPr>
        <w:t>Audit and Finance Committee Charter</w:t>
      </w:r>
    </w:p>
    <w:p>
      <w:pPr>
        <w:spacing w:after="0" w:line="22" w:lineRule="exact"/>
        <w:rPr>
          <w:sz w:val="20"/>
          <w:szCs w:val="20"/>
          <w:color w:val="auto"/>
        </w:rPr>
      </w:pPr>
    </w:p>
    <w:p>
      <w:pPr>
        <w:ind w:left="280" w:right="60" w:hanging="149"/>
        <w:spacing w:after="0" w:line="254" w:lineRule="auto"/>
        <w:tabs>
          <w:tab w:leader="none" w:pos="283" w:val="left"/>
        </w:tabs>
        <w:numPr>
          <w:ilvl w:val="0"/>
          <w:numId w:val="21"/>
        </w:numPr>
        <w:rPr>
          <w:rFonts w:ascii="Arial" w:cs="Arial" w:eastAsia="Arial" w:hAnsi="Arial"/>
          <w:sz w:val="16"/>
          <w:szCs w:val="16"/>
          <w:b w:val="1"/>
          <w:bCs w:val="1"/>
          <w:color w:val="009844"/>
        </w:rPr>
      </w:pPr>
      <w:r>
        <w:rPr>
          <w:rFonts w:ascii="Arial" w:cs="Arial" w:eastAsia="Arial" w:hAnsi="Arial"/>
          <w:sz w:val="16"/>
          <w:szCs w:val="16"/>
          <w:color w:val="auto"/>
        </w:rPr>
        <w:t>The Audit and Finance Committee operates under a written charter that is available on our website at the address provided on page 20.</w:t>
      </w:r>
    </w:p>
    <w:p>
      <w:pPr>
        <w:spacing w:after="0" w:line="200" w:lineRule="exact"/>
        <w:rPr>
          <w:sz w:val="20"/>
          <w:szCs w:val="20"/>
          <w:color w:val="auto"/>
        </w:rPr>
      </w:pPr>
    </w:p>
    <w:p>
      <w:pPr>
        <w:sectPr>
          <w:pgSz w:w="11900" w:h="16838" w:orient="portrait"/>
          <w:cols w:equalWidth="0" w:num="2">
            <w:col w:w="3400" w:space="540"/>
            <w:col w:w="7300"/>
          </w:cols>
          <w:pgMar w:left="320" w:top="140" w:right="339" w:bottom="1440" w:gutter="0" w:footer="0" w:header="0"/>
        </w:sectPr>
      </w:pPr>
    </w:p>
    <w:p>
      <w:pPr>
        <w:spacing w:after="0" w:line="182" w:lineRule="exact"/>
        <w:rPr>
          <w:sz w:val="20"/>
          <w:szCs w:val="20"/>
          <w:color w:val="auto"/>
        </w:rPr>
      </w:pPr>
    </w:p>
    <w:p>
      <w:pPr>
        <w:spacing w:after="0"/>
        <w:rPr>
          <w:sz w:val="20"/>
          <w:szCs w:val="20"/>
          <w:color w:val="auto"/>
        </w:rPr>
      </w:pPr>
      <w:r>
        <w:rPr>
          <w:rFonts w:ascii="Arial" w:cs="Arial" w:eastAsia="Arial" w:hAnsi="Arial"/>
          <w:sz w:val="24"/>
          <w:szCs w:val="24"/>
          <w:color w:val="64C28B"/>
        </w:rPr>
        <w:t>Corporate Governance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144780</wp:posOffset>
            </wp:positionV>
            <wp:extent cx="7134225" cy="197802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34225" cy="197802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p>
      <w:pPr>
        <w:spacing w:after="0" w:line="370"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9844"/>
        </w:rPr>
        <w:t>Members</w:t>
      </w:r>
    </w:p>
    <w:p>
      <w:pPr>
        <w:spacing w:after="0" w:line="22" w:lineRule="exact"/>
        <w:rPr>
          <w:sz w:val="20"/>
          <w:szCs w:val="20"/>
          <w:color w:val="auto"/>
        </w:rPr>
      </w:pPr>
    </w:p>
    <w:p>
      <w:pPr>
        <w:ind w:left="400" w:hanging="145"/>
        <w:spacing w:after="0"/>
        <w:tabs>
          <w:tab w:leader="none" w:pos="400" w:val="left"/>
        </w:tabs>
        <w:numPr>
          <w:ilvl w:val="0"/>
          <w:numId w:val="22"/>
        </w:numPr>
        <w:rPr>
          <w:rFonts w:ascii="Arial" w:cs="Arial" w:eastAsia="Arial" w:hAnsi="Arial"/>
          <w:sz w:val="16"/>
          <w:szCs w:val="16"/>
          <w:b w:val="1"/>
          <w:bCs w:val="1"/>
          <w:color w:val="009844"/>
        </w:rPr>
      </w:pPr>
      <w:r>
        <w:rPr>
          <w:rFonts w:ascii="Arial" w:cs="Arial" w:eastAsia="Arial" w:hAnsi="Arial"/>
          <w:sz w:val="16"/>
          <w:szCs w:val="16"/>
          <w:b w:val="1"/>
          <w:bCs w:val="1"/>
          <w:color w:val="auto"/>
        </w:rPr>
        <w:t>Chadwick C. Deaton (Chair)</w:t>
      </w:r>
    </w:p>
    <w:p>
      <w:pPr>
        <w:spacing w:after="0" w:line="2" w:lineRule="exact"/>
        <w:rPr>
          <w:rFonts w:ascii="Arial" w:cs="Arial" w:eastAsia="Arial" w:hAnsi="Arial"/>
          <w:sz w:val="16"/>
          <w:szCs w:val="16"/>
          <w:b w:val="1"/>
          <w:bCs w:val="1"/>
          <w:color w:val="009844"/>
        </w:rPr>
      </w:pPr>
    </w:p>
    <w:p>
      <w:pPr>
        <w:ind w:left="400" w:hanging="145"/>
        <w:spacing w:after="0"/>
        <w:tabs>
          <w:tab w:leader="none" w:pos="400" w:val="left"/>
        </w:tabs>
        <w:numPr>
          <w:ilvl w:val="0"/>
          <w:numId w:val="22"/>
        </w:numPr>
        <w:rPr>
          <w:rFonts w:ascii="Arial" w:cs="Arial" w:eastAsia="Arial" w:hAnsi="Arial"/>
          <w:sz w:val="16"/>
          <w:szCs w:val="16"/>
          <w:b w:val="1"/>
          <w:bCs w:val="1"/>
          <w:color w:val="009844"/>
        </w:rPr>
      </w:pPr>
      <w:r>
        <w:rPr>
          <w:rFonts w:ascii="Arial" w:cs="Arial" w:eastAsia="Arial" w:hAnsi="Arial"/>
          <w:sz w:val="16"/>
          <w:szCs w:val="16"/>
          <w:color w:val="auto"/>
        </w:rPr>
        <w:t>Charles I. Cogut</w:t>
      </w:r>
    </w:p>
    <w:p>
      <w:pPr>
        <w:spacing w:after="0" w:line="2" w:lineRule="exact"/>
        <w:rPr>
          <w:rFonts w:ascii="Arial" w:cs="Arial" w:eastAsia="Arial" w:hAnsi="Arial"/>
          <w:sz w:val="16"/>
          <w:szCs w:val="16"/>
          <w:b w:val="1"/>
          <w:bCs w:val="1"/>
          <w:color w:val="009844"/>
        </w:rPr>
      </w:pPr>
    </w:p>
    <w:p>
      <w:pPr>
        <w:ind w:left="400" w:hanging="145"/>
        <w:spacing w:after="0"/>
        <w:tabs>
          <w:tab w:leader="none" w:pos="400" w:val="left"/>
        </w:tabs>
        <w:numPr>
          <w:ilvl w:val="0"/>
          <w:numId w:val="22"/>
        </w:numPr>
        <w:rPr>
          <w:rFonts w:ascii="Arial" w:cs="Arial" w:eastAsia="Arial" w:hAnsi="Arial"/>
          <w:sz w:val="16"/>
          <w:szCs w:val="16"/>
          <w:b w:val="1"/>
          <w:bCs w:val="1"/>
          <w:color w:val="009844"/>
        </w:rPr>
      </w:pPr>
      <w:r>
        <w:rPr>
          <w:rFonts w:ascii="Arial" w:cs="Arial" w:eastAsia="Arial" w:hAnsi="Arial"/>
          <w:sz w:val="16"/>
          <w:szCs w:val="16"/>
          <w:color w:val="auto"/>
        </w:rPr>
        <w:t>Lisa A. Davis</w:t>
      </w:r>
    </w:p>
    <w:p>
      <w:pPr>
        <w:spacing w:after="0" w:line="2" w:lineRule="exact"/>
        <w:rPr>
          <w:rFonts w:ascii="Arial" w:cs="Arial" w:eastAsia="Arial" w:hAnsi="Arial"/>
          <w:sz w:val="16"/>
          <w:szCs w:val="16"/>
          <w:b w:val="1"/>
          <w:bCs w:val="1"/>
          <w:color w:val="009844"/>
        </w:rPr>
      </w:pPr>
    </w:p>
    <w:p>
      <w:pPr>
        <w:ind w:left="400" w:hanging="145"/>
        <w:spacing w:after="0"/>
        <w:tabs>
          <w:tab w:leader="none" w:pos="400" w:val="left"/>
        </w:tabs>
        <w:numPr>
          <w:ilvl w:val="0"/>
          <w:numId w:val="22"/>
        </w:numPr>
        <w:rPr>
          <w:rFonts w:ascii="Arial" w:cs="Arial" w:eastAsia="Arial" w:hAnsi="Arial"/>
          <w:sz w:val="16"/>
          <w:szCs w:val="16"/>
          <w:b w:val="1"/>
          <w:bCs w:val="1"/>
          <w:color w:val="009844"/>
        </w:rPr>
      </w:pPr>
      <w:r>
        <w:rPr>
          <w:rFonts w:ascii="Arial" w:cs="Arial" w:eastAsia="Arial" w:hAnsi="Arial"/>
          <w:sz w:val="16"/>
          <w:szCs w:val="16"/>
          <w:color w:val="auto"/>
        </w:rPr>
        <w:t>Edward L. Monser</w:t>
      </w:r>
    </w:p>
    <w:p>
      <w:pPr>
        <w:spacing w:after="0" w:line="2" w:lineRule="exact"/>
        <w:rPr>
          <w:rFonts w:ascii="Arial" w:cs="Arial" w:eastAsia="Arial" w:hAnsi="Arial"/>
          <w:sz w:val="16"/>
          <w:szCs w:val="16"/>
          <w:b w:val="1"/>
          <w:bCs w:val="1"/>
          <w:color w:val="009844"/>
        </w:rPr>
      </w:pPr>
    </w:p>
    <w:p>
      <w:pPr>
        <w:ind w:left="400" w:hanging="145"/>
        <w:spacing w:after="0"/>
        <w:tabs>
          <w:tab w:leader="none" w:pos="400" w:val="left"/>
        </w:tabs>
        <w:numPr>
          <w:ilvl w:val="0"/>
          <w:numId w:val="22"/>
        </w:numPr>
        <w:rPr>
          <w:rFonts w:ascii="Arial" w:cs="Arial" w:eastAsia="Arial" w:hAnsi="Arial"/>
          <w:sz w:val="16"/>
          <w:szCs w:val="16"/>
          <w:b w:val="1"/>
          <w:bCs w:val="1"/>
          <w:color w:val="009844"/>
        </w:rPr>
      </w:pPr>
      <w:r>
        <w:rPr>
          <w:rFonts w:ascii="Arial" w:cs="Arial" w:eastAsia="Arial" w:hAnsi="Arial"/>
          <w:sz w:val="16"/>
          <w:szCs w:val="16"/>
          <w:color w:val="auto"/>
        </w:rPr>
        <w:t>Matthew H. Paull</w:t>
      </w:r>
    </w:p>
    <w:p>
      <w:pPr>
        <w:spacing w:after="0" w:line="14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Fiscal 2021 Meetings: </w:t>
      </w:r>
      <w:r>
        <w:rPr>
          <w:rFonts w:ascii="Arial" w:cs="Arial" w:eastAsia="Arial" w:hAnsi="Arial"/>
          <w:sz w:val="16"/>
          <w:szCs w:val="16"/>
          <w:b w:val="1"/>
          <w:bCs w:val="1"/>
          <w:color w:val="009844"/>
        </w:rPr>
        <w:t>3</w:t>
      </w:r>
    </w:p>
    <w:p>
      <w:pPr>
        <w:spacing w:after="0" w:line="182" w:lineRule="exact"/>
        <w:rPr>
          <w:sz w:val="20"/>
          <w:szCs w:val="20"/>
          <w:color w:val="auto"/>
        </w:rPr>
      </w:pPr>
    </w:p>
    <w:p>
      <w:pPr>
        <w:ind w:left="140"/>
        <w:spacing w:after="0" w:line="245" w:lineRule="auto"/>
        <w:rPr>
          <w:sz w:val="20"/>
          <w:szCs w:val="20"/>
          <w:color w:val="auto"/>
        </w:rPr>
      </w:pPr>
      <w:r>
        <w:rPr>
          <w:rFonts w:ascii="Arial" w:cs="Arial" w:eastAsia="Arial" w:hAnsi="Arial"/>
          <w:sz w:val="16"/>
          <w:szCs w:val="16"/>
          <w:color w:val="auto"/>
        </w:rPr>
        <w:t>As a result of his retirement effective at the conclusion of the Annual Meeting, Mr. Deaton will no longer be a member of the Corporate Governance and Nominating Committee and Mr. Monser will become Chair of the Committee.</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009844"/>
        </w:rPr>
        <w:t>Primary Responsibilities</w:t>
      </w:r>
    </w:p>
    <w:p>
      <w:pPr>
        <w:spacing w:after="0" w:line="22" w:lineRule="exact"/>
        <w:rPr>
          <w:sz w:val="20"/>
          <w:szCs w:val="20"/>
          <w:color w:val="auto"/>
        </w:rPr>
      </w:pPr>
    </w:p>
    <w:p>
      <w:pPr>
        <w:ind w:left="280" w:right="100" w:hanging="149"/>
        <w:spacing w:after="0" w:line="243" w:lineRule="auto"/>
        <w:tabs>
          <w:tab w:leader="none" w:pos="283" w:val="left"/>
        </w:tabs>
        <w:numPr>
          <w:ilvl w:val="0"/>
          <w:numId w:val="23"/>
        </w:numPr>
        <w:rPr>
          <w:rFonts w:ascii="Arial" w:cs="Arial" w:eastAsia="Arial" w:hAnsi="Arial"/>
          <w:sz w:val="16"/>
          <w:szCs w:val="16"/>
          <w:b w:val="1"/>
          <w:bCs w:val="1"/>
          <w:color w:val="009844"/>
        </w:rPr>
      </w:pPr>
      <w:r>
        <w:rPr>
          <w:rFonts w:ascii="Arial" w:cs="Arial" w:eastAsia="Arial" w:hAnsi="Arial"/>
          <w:sz w:val="16"/>
          <w:szCs w:val="16"/>
          <w:color w:val="auto"/>
        </w:rPr>
        <w:t>The Committee monitors and makes recommendations to the Board about corporate governance matters, including the Guidelines, the Code of Conduct, Board structure and operation, Board policies on director compensation and tenure, the meeting schedules of the Board and its committees, the charters and composition of the committees and the annual Board and committee performance assessment process.</w:t>
      </w:r>
    </w:p>
    <w:p>
      <w:pPr>
        <w:ind w:left="280" w:right="200" w:hanging="149"/>
        <w:spacing w:after="0" w:line="243" w:lineRule="auto"/>
        <w:tabs>
          <w:tab w:leader="none" w:pos="283" w:val="left"/>
        </w:tabs>
        <w:numPr>
          <w:ilvl w:val="0"/>
          <w:numId w:val="23"/>
        </w:numPr>
        <w:rPr>
          <w:rFonts w:ascii="Arial" w:cs="Arial" w:eastAsia="Arial" w:hAnsi="Arial"/>
          <w:sz w:val="16"/>
          <w:szCs w:val="16"/>
          <w:b w:val="1"/>
          <w:bCs w:val="1"/>
          <w:color w:val="009844"/>
        </w:rPr>
      </w:pPr>
      <w:r>
        <w:rPr>
          <w:rFonts w:ascii="Arial" w:cs="Arial" w:eastAsia="Arial" w:hAnsi="Arial"/>
          <w:sz w:val="16"/>
          <w:szCs w:val="16"/>
          <w:color w:val="auto"/>
        </w:rPr>
        <w:t>The Committee has primary responsibility for identifying, recommending and recruiting nominees for election to the Board and recommending candidates for election as Lead Director.</w:t>
      </w:r>
    </w:p>
    <w:p>
      <w:pPr>
        <w:ind w:left="280" w:right="660" w:hanging="149"/>
        <w:spacing w:after="0" w:line="248" w:lineRule="auto"/>
        <w:tabs>
          <w:tab w:leader="none" w:pos="283" w:val="left"/>
        </w:tabs>
        <w:numPr>
          <w:ilvl w:val="0"/>
          <w:numId w:val="23"/>
        </w:numPr>
        <w:rPr>
          <w:rFonts w:ascii="Arial" w:cs="Arial" w:eastAsia="Arial" w:hAnsi="Arial"/>
          <w:sz w:val="16"/>
          <w:szCs w:val="16"/>
          <w:b w:val="1"/>
          <w:bCs w:val="1"/>
          <w:color w:val="009844"/>
        </w:rPr>
      </w:pPr>
      <w:r>
        <w:rPr>
          <w:rFonts w:ascii="Arial" w:cs="Arial" w:eastAsia="Arial" w:hAnsi="Arial"/>
          <w:sz w:val="16"/>
          <w:szCs w:val="16"/>
          <w:color w:val="auto"/>
        </w:rPr>
        <w:t>The Committee also reviews and monitors the Company’s crisis management procedures, government relations activities and response to significant public policy issues, including sustainability and other social responsibility matters.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009844"/>
        </w:rPr>
        <w:t>Corporate Governance and Nominating Committee Charter</w:t>
      </w:r>
    </w:p>
    <w:p>
      <w:pPr>
        <w:spacing w:after="0" w:line="22" w:lineRule="exact"/>
        <w:rPr>
          <w:sz w:val="20"/>
          <w:szCs w:val="20"/>
          <w:color w:val="auto"/>
        </w:rPr>
      </w:pPr>
    </w:p>
    <w:p>
      <w:pPr>
        <w:ind w:left="280" w:right="320" w:hanging="149"/>
        <w:spacing w:after="0" w:line="254" w:lineRule="auto"/>
        <w:tabs>
          <w:tab w:leader="none" w:pos="283" w:val="left"/>
        </w:tabs>
        <w:numPr>
          <w:ilvl w:val="0"/>
          <w:numId w:val="24"/>
        </w:numPr>
        <w:rPr>
          <w:rFonts w:ascii="Arial" w:cs="Arial" w:eastAsia="Arial" w:hAnsi="Arial"/>
          <w:sz w:val="16"/>
          <w:szCs w:val="16"/>
          <w:b w:val="1"/>
          <w:bCs w:val="1"/>
          <w:color w:val="009844"/>
        </w:rPr>
      </w:pPr>
      <w:r>
        <w:rPr>
          <w:rFonts w:ascii="Arial" w:cs="Arial" w:eastAsia="Arial" w:hAnsi="Arial"/>
          <w:sz w:val="16"/>
          <w:szCs w:val="16"/>
          <w:color w:val="auto"/>
        </w:rPr>
        <w:t>The Corporate Governance and Nominating Committee operates under a written charter that is available on our website at the address provided on page 20.</w:t>
      </w:r>
    </w:p>
    <w:p>
      <w:pPr>
        <w:spacing w:after="0" w:line="200" w:lineRule="exact"/>
        <w:rPr>
          <w:sz w:val="20"/>
          <w:szCs w:val="20"/>
          <w:color w:val="auto"/>
        </w:rPr>
      </w:pPr>
    </w:p>
    <w:p>
      <w:pPr>
        <w:sectPr>
          <w:pgSz w:w="11900" w:h="16838" w:orient="portrait"/>
          <w:cols w:equalWidth="0" w:num="2">
            <w:col w:w="3380" w:space="560"/>
            <w:col w:w="7300"/>
          </w:cols>
          <w:pgMar w:left="320" w:top="140" w:right="339" w:bottom="1440" w:gutter="0" w:footer="0" w:header="0"/>
          <w:type w:val="continuous"/>
        </w:sectPr>
      </w:pPr>
    </w:p>
    <w:p>
      <w:pPr>
        <w:spacing w:after="0" w:line="287" w:lineRule="exact"/>
        <w:rPr>
          <w:sz w:val="20"/>
          <w:szCs w:val="20"/>
          <w:color w:val="auto"/>
        </w:rPr>
      </w:pPr>
    </w:p>
    <w:p>
      <w:pPr>
        <w:ind w:left="9480"/>
        <w:spacing w:after="0"/>
        <w:tabs>
          <w:tab w:leader="none" w:pos="1106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7155180" cy="209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64C28B"/>
        </w:rPr>
        <w:t>Executive Committee</w:t>
      </w:r>
    </w:p>
    <w:p>
      <w:pPr>
        <w:spacing w:after="0" w:line="358"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9844"/>
        </w:rPr>
        <w:t>Members</w:t>
      </w:r>
    </w:p>
    <w:p>
      <w:pPr>
        <w:spacing w:after="0" w:line="22" w:lineRule="exact"/>
        <w:rPr>
          <w:sz w:val="20"/>
          <w:szCs w:val="20"/>
          <w:color w:val="auto"/>
        </w:rPr>
      </w:pPr>
    </w:p>
    <w:p>
      <w:pPr>
        <w:ind w:left="400" w:hanging="145"/>
        <w:spacing w:after="0"/>
        <w:tabs>
          <w:tab w:leader="none" w:pos="400" w:val="left"/>
        </w:tabs>
        <w:numPr>
          <w:ilvl w:val="0"/>
          <w:numId w:val="25"/>
        </w:numPr>
        <w:rPr>
          <w:rFonts w:ascii="Arial" w:cs="Arial" w:eastAsia="Arial" w:hAnsi="Arial"/>
          <w:sz w:val="16"/>
          <w:szCs w:val="16"/>
          <w:b w:val="1"/>
          <w:bCs w:val="1"/>
          <w:color w:val="009844"/>
        </w:rPr>
      </w:pPr>
      <w:r>
        <w:rPr>
          <w:rFonts w:ascii="Arial" w:cs="Arial" w:eastAsia="Arial" w:hAnsi="Arial"/>
          <w:sz w:val="16"/>
          <w:szCs w:val="16"/>
          <w:b w:val="1"/>
          <w:bCs w:val="1"/>
          <w:color w:val="auto"/>
        </w:rPr>
        <w:t>Seifi Ghasemi (Chair)</w:t>
      </w:r>
    </w:p>
    <w:p>
      <w:pPr>
        <w:spacing w:after="0" w:line="2" w:lineRule="exact"/>
        <w:rPr>
          <w:rFonts w:ascii="Arial" w:cs="Arial" w:eastAsia="Arial" w:hAnsi="Arial"/>
          <w:sz w:val="16"/>
          <w:szCs w:val="16"/>
          <w:b w:val="1"/>
          <w:bCs w:val="1"/>
          <w:color w:val="009844"/>
        </w:rPr>
      </w:pPr>
    </w:p>
    <w:p>
      <w:pPr>
        <w:ind w:left="400" w:hanging="145"/>
        <w:spacing w:after="0"/>
        <w:tabs>
          <w:tab w:leader="none" w:pos="400" w:val="left"/>
        </w:tabs>
        <w:numPr>
          <w:ilvl w:val="0"/>
          <w:numId w:val="25"/>
        </w:numPr>
        <w:rPr>
          <w:rFonts w:ascii="Arial" w:cs="Arial" w:eastAsia="Arial" w:hAnsi="Arial"/>
          <w:sz w:val="16"/>
          <w:szCs w:val="16"/>
          <w:b w:val="1"/>
          <w:bCs w:val="1"/>
          <w:color w:val="009844"/>
        </w:rPr>
      </w:pPr>
      <w:r>
        <w:rPr>
          <w:rFonts w:ascii="Arial" w:cs="Arial" w:eastAsia="Arial" w:hAnsi="Arial"/>
          <w:sz w:val="16"/>
          <w:szCs w:val="16"/>
          <w:color w:val="auto"/>
        </w:rPr>
        <w:t>Lisa A. Davis</w:t>
      </w:r>
    </w:p>
    <w:p>
      <w:pPr>
        <w:spacing w:after="0" w:line="2" w:lineRule="exact"/>
        <w:rPr>
          <w:rFonts w:ascii="Arial" w:cs="Arial" w:eastAsia="Arial" w:hAnsi="Arial"/>
          <w:sz w:val="16"/>
          <w:szCs w:val="16"/>
          <w:b w:val="1"/>
          <w:bCs w:val="1"/>
          <w:color w:val="009844"/>
        </w:rPr>
      </w:pPr>
    </w:p>
    <w:p>
      <w:pPr>
        <w:ind w:left="400" w:hanging="145"/>
        <w:spacing w:after="0"/>
        <w:tabs>
          <w:tab w:leader="none" w:pos="400" w:val="left"/>
        </w:tabs>
        <w:numPr>
          <w:ilvl w:val="0"/>
          <w:numId w:val="25"/>
        </w:numPr>
        <w:rPr>
          <w:rFonts w:ascii="Arial" w:cs="Arial" w:eastAsia="Arial" w:hAnsi="Arial"/>
          <w:sz w:val="16"/>
          <w:szCs w:val="16"/>
          <w:b w:val="1"/>
          <w:bCs w:val="1"/>
          <w:color w:val="009844"/>
        </w:rPr>
      </w:pPr>
      <w:r>
        <w:rPr>
          <w:rFonts w:ascii="Arial" w:cs="Arial" w:eastAsia="Arial" w:hAnsi="Arial"/>
          <w:sz w:val="16"/>
          <w:szCs w:val="16"/>
          <w:color w:val="auto"/>
        </w:rPr>
        <w:t>Chadwick C. Deaton</w:t>
      </w:r>
    </w:p>
    <w:p>
      <w:pPr>
        <w:spacing w:after="0" w:line="2" w:lineRule="exact"/>
        <w:rPr>
          <w:rFonts w:ascii="Arial" w:cs="Arial" w:eastAsia="Arial" w:hAnsi="Arial"/>
          <w:sz w:val="16"/>
          <w:szCs w:val="16"/>
          <w:b w:val="1"/>
          <w:bCs w:val="1"/>
          <w:color w:val="009844"/>
        </w:rPr>
      </w:pPr>
    </w:p>
    <w:p>
      <w:pPr>
        <w:ind w:left="400" w:hanging="145"/>
        <w:spacing w:after="0"/>
        <w:tabs>
          <w:tab w:leader="none" w:pos="400" w:val="left"/>
        </w:tabs>
        <w:numPr>
          <w:ilvl w:val="0"/>
          <w:numId w:val="25"/>
        </w:numPr>
        <w:rPr>
          <w:rFonts w:ascii="Arial" w:cs="Arial" w:eastAsia="Arial" w:hAnsi="Arial"/>
          <w:sz w:val="16"/>
          <w:szCs w:val="16"/>
          <w:b w:val="1"/>
          <w:bCs w:val="1"/>
          <w:color w:val="009844"/>
        </w:rPr>
      </w:pPr>
      <w:r>
        <w:rPr>
          <w:rFonts w:ascii="Arial" w:cs="Arial" w:eastAsia="Arial" w:hAnsi="Arial"/>
          <w:sz w:val="16"/>
          <w:szCs w:val="16"/>
          <w:color w:val="auto"/>
        </w:rPr>
        <w:t>Edward L. Monser</w:t>
      </w:r>
    </w:p>
    <w:p>
      <w:pPr>
        <w:spacing w:after="0" w:line="2" w:lineRule="exact"/>
        <w:rPr>
          <w:rFonts w:ascii="Arial" w:cs="Arial" w:eastAsia="Arial" w:hAnsi="Arial"/>
          <w:sz w:val="16"/>
          <w:szCs w:val="16"/>
          <w:b w:val="1"/>
          <w:bCs w:val="1"/>
          <w:color w:val="009844"/>
        </w:rPr>
      </w:pPr>
    </w:p>
    <w:p>
      <w:pPr>
        <w:ind w:left="400" w:hanging="145"/>
        <w:spacing w:after="0"/>
        <w:tabs>
          <w:tab w:leader="none" w:pos="400" w:val="left"/>
        </w:tabs>
        <w:numPr>
          <w:ilvl w:val="0"/>
          <w:numId w:val="25"/>
        </w:numPr>
        <w:rPr>
          <w:rFonts w:ascii="Arial" w:cs="Arial" w:eastAsia="Arial" w:hAnsi="Arial"/>
          <w:sz w:val="16"/>
          <w:szCs w:val="16"/>
          <w:b w:val="1"/>
          <w:bCs w:val="1"/>
          <w:color w:val="009844"/>
        </w:rPr>
      </w:pPr>
      <w:r>
        <w:rPr>
          <w:rFonts w:ascii="Arial" w:cs="Arial" w:eastAsia="Arial" w:hAnsi="Arial"/>
          <w:sz w:val="16"/>
          <w:szCs w:val="16"/>
          <w:color w:val="auto"/>
        </w:rPr>
        <w:t>Matthew H. Paull</w:t>
      </w:r>
    </w:p>
    <w:p>
      <w:pPr>
        <w:spacing w:after="0" w:line="162" w:lineRule="exact"/>
        <w:rPr>
          <w:sz w:val="20"/>
          <w:szCs w:val="20"/>
          <w:color w:val="auto"/>
        </w:rPr>
      </w:pPr>
    </w:p>
    <w:p>
      <w:pPr>
        <w:ind w:left="140"/>
        <w:spacing w:after="0" w:line="246" w:lineRule="auto"/>
        <w:rPr>
          <w:sz w:val="20"/>
          <w:szCs w:val="20"/>
          <w:color w:val="auto"/>
        </w:rPr>
      </w:pPr>
      <w:r>
        <w:rPr>
          <w:rFonts w:ascii="Arial" w:cs="Arial" w:eastAsia="Arial" w:hAnsi="Arial"/>
          <w:sz w:val="16"/>
          <w:szCs w:val="16"/>
          <w:color w:val="auto"/>
        </w:rPr>
        <w:t>As a result of his retirement effective at the conclusion of the Annual Meeting, Mr. Deaton will no longer be a member of the Executive Committee.</w:t>
      </w:r>
    </w:p>
    <w:p>
      <w:pPr>
        <w:spacing w:after="0" w:line="13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Fiscal 2021 Meetings: </w:t>
      </w:r>
      <w:r>
        <w:rPr>
          <w:rFonts w:ascii="Arial" w:cs="Arial" w:eastAsia="Arial" w:hAnsi="Arial"/>
          <w:sz w:val="16"/>
          <w:szCs w:val="16"/>
          <w:b w:val="1"/>
          <w:bCs w:val="1"/>
          <w:color w:val="009844"/>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009844"/>
        </w:rPr>
        <w:t>Primary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-2497455</wp:posOffset>
            </wp:positionH>
            <wp:positionV relativeFrom="paragraph">
              <wp:posOffset>-206375</wp:posOffset>
            </wp:positionV>
            <wp:extent cx="7134225" cy="172466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34225" cy="1724660"/>
                    </a:xfrm>
                    <a:prstGeom prst="rect">
                      <a:avLst/>
                    </a:prstGeom>
                    <a:noFill/>
                  </pic:spPr>
                </pic:pic>
              </a:graphicData>
            </a:graphic>
          </wp:anchor>
        </w:drawing>
      </w:r>
    </w:p>
    <w:p>
      <w:pPr>
        <w:spacing w:after="0" w:line="2" w:lineRule="exact"/>
        <w:rPr>
          <w:sz w:val="20"/>
          <w:szCs w:val="20"/>
          <w:color w:val="auto"/>
        </w:rPr>
      </w:pPr>
    </w:p>
    <w:p>
      <w:pPr>
        <w:ind w:left="280" w:right="300" w:hanging="149"/>
        <w:spacing w:after="0" w:line="243" w:lineRule="auto"/>
        <w:tabs>
          <w:tab w:leader="none" w:pos="283" w:val="left"/>
        </w:tabs>
        <w:numPr>
          <w:ilvl w:val="0"/>
          <w:numId w:val="26"/>
        </w:numPr>
        <w:rPr>
          <w:rFonts w:ascii="Arial" w:cs="Arial" w:eastAsia="Arial" w:hAnsi="Arial"/>
          <w:sz w:val="16"/>
          <w:szCs w:val="16"/>
          <w:b w:val="1"/>
          <w:bCs w:val="1"/>
          <w:color w:val="009844"/>
        </w:rPr>
      </w:pPr>
      <w:r>
        <w:rPr>
          <w:rFonts w:ascii="Arial" w:cs="Arial" w:eastAsia="Arial" w:hAnsi="Arial"/>
          <w:sz w:val="16"/>
          <w:szCs w:val="16"/>
          <w:color w:val="auto"/>
        </w:rPr>
        <w:t>The Executive Committee has the authority of the Board to act on most matters during intervals between Board meetings and meets as needed for this purpose.</w:t>
      </w:r>
    </w:p>
    <w:p>
      <w:pPr>
        <w:ind w:left="280" w:right="160" w:hanging="149"/>
        <w:spacing w:after="0" w:line="254" w:lineRule="auto"/>
        <w:tabs>
          <w:tab w:leader="none" w:pos="283" w:val="left"/>
        </w:tabs>
        <w:numPr>
          <w:ilvl w:val="0"/>
          <w:numId w:val="26"/>
        </w:numPr>
        <w:rPr>
          <w:rFonts w:ascii="Arial" w:cs="Arial" w:eastAsia="Arial" w:hAnsi="Arial"/>
          <w:sz w:val="16"/>
          <w:szCs w:val="16"/>
          <w:b w:val="1"/>
          <w:bCs w:val="1"/>
          <w:color w:val="009844"/>
        </w:rPr>
      </w:pPr>
      <w:r>
        <w:rPr>
          <w:rFonts w:ascii="Arial" w:cs="Arial" w:eastAsia="Arial" w:hAnsi="Arial"/>
          <w:sz w:val="16"/>
          <w:szCs w:val="16"/>
          <w:color w:val="auto"/>
        </w:rPr>
        <w:t>Actions taken by the Executive Committee since the last meeting of the Board are reported to the Board at its next meeting.</w:t>
      </w:r>
    </w:p>
    <w:p>
      <w:pPr>
        <w:spacing w:after="0" w:line="143" w:lineRule="exact"/>
        <w:rPr>
          <w:sz w:val="20"/>
          <w:szCs w:val="20"/>
          <w:color w:val="auto"/>
        </w:rPr>
      </w:pPr>
    </w:p>
    <w:p>
      <w:pPr>
        <w:ind w:right="1900"/>
        <w:spacing w:after="0" w:line="254" w:lineRule="auto"/>
        <w:rPr>
          <w:sz w:val="20"/>
          <w:szCs w:val="20"/>
          <w:color w:val="auto"/>
        </w:rPr>
      </w:pPr>
      <w:r>
        <w:rPr>
          <w:rFonts w:ascii="Arial" w:cs="Arial" w:eastAsia="Arial" w:hAnsi="Arial"/>
          <w:sz w:val="16"/>
          <w:szCs w:val="16"/>
          <w:color w:val="auto"/>
        </w:rPr>
        <w:t>The Executive Committee does not have a written charter. In fiscal 2021, the Executive Committee met to discuss a variety of matters.</w:t>
      </w:r>
    </w:p>
    <w:p>
      <w:pPr>
        <w:spacing w:after="0" w:line="1066" w:lineRule="exact"/>
        <w:rPr>
          <w:sz w:val="20"/>
          <w:szCs w:val="20"/>
          <w:color w:val="auto"/>
        </w:rPr>
      </w:pPr>
    </w:p>
    <w:p>
      <w:pPr>
        <w:sectPr>
          <w:pgSz w:w="11900" w:h="16838" w:orient="portrait"/>
          <w:cols w:equalWidth="0" w:num="2">
            <w:col w:w="3380" w:space="560"/>
            <w:col w:w="7300"/>
          </w:cols>
          <w:pgMar w:left="320" w:top="140" w:right="33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24"/>
          <w:szCs w:val="24"/>
          <w:color w:val="64C28B"/>
        </w:rPr>
        <w:t>Management Development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144780</wp:posOffset>
            </wp:positionV>
            <wp:extent cx="7134225" cy="31445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34225" cy="314452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p>
      <w:pPr>
        <w:spacing w:after="0" w:line="370"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9844"/>
        </w:rPr>
        <w:t>Members</w:t>
      </w:r>
    </w:p>
    <w:p>
      <w:pPr>
        <w:spacing w:after="0" w:line="22" w:lineRule="exact"/>
        <w:rPr>
          <w:sz w:val="20"/>
          <w:szCs w:val="20"/>
          <w:color w:val="auto"/>
        </w:rPr>
      </w:pPr>
    </w:p>
    <w:p>
      <w:pPr>
        <w:ind w:left="400" w:hanging="145"/>
        <w:spacing w:after="0"/>
        <w:tabs>
          <w:tab w:leader="none" w:pos="400" w:val="left"/>
        </w:tabs>
        <w:numPr>
          <w:ilvl w:val="0"/>
          <w:numId w:val="27"/>
        </w:numPr>
        <w:rPr>
          <w:rFonts w:ascii="Arial" w:cs="Arial" w:eastAsia="Arial" w:hAnsi="Arial"/>
          <w:sz w:val="16"/>
          <w:szCs w:val="16"/>
          <w:b w:val="1"/>
          <w:bCs w:val="1"/>
          <w:color w:val="009844"/>
        </w:rPr>
      </w:pPr>
      <w:r>
        <w:rPr>
          <w:rFonts w:ascii="Arial" w:cs="Arial" w:eastAsia="Arial" w:hAnsi="Arial"/>
          <w:sz w:val="16"/>
          <w:szCs w:val="16"/>
          <w:b w:val="1"/>
          <w:bCs w:val="1"/>
          <w:color w:val="auto"/>
        </w:rPr>
        <w:t>Lisa A. Davis (Chair)</w:t>
      </w:r>
    </w:p>
    <w:p>
      <w:pPr>
        <w:spacing w:after="0" w:line="2" w:lineRule="exact"/>
        <w:rPr>
          <w:rFonts w:ascii="Arial" w:cs="Arial" w:eastAsia="Arial" w:hAnsi="Arial"/>
          <w:sz w:val="16"/>
          <w:szCs w:val="16"/>
          <w:b w:val="1"/>
          <w:bCs w:val="1"/>
          <w:color w:val="009844"/>
        </w:rPr>
      </w:pPr>
    </w:p>
    <w:p>
      <w:pPr>
        <w:ind w:left="400" w:hanging="145"/>
        <w:spacing w:after="0"/>
        <w:tabs>
          <w:tab w:leader="none" w:pos="400" w:val="left"/>
        </w:tabs>
        <w:numPr>
          <w:ilvl w:val="0"/>
          <w:numId w:val="27"/>
        </w:numPr>
        <w:rPr>
          <w:rFonts w:ascii="Arial" w:cs="Arial" w:eastAsia="Arial" w:hAnsi="Arial"/>
          <w:sz w:val="16"/>
          <w:szCs w:val="16"/>
          <w:b w:val="1"/>
          <w:bCs w:val="1"/>
          <w:color w:val="009844"/>
        </w:rPr>
      </w:pPr>
      <w:r>
        <w:rPr>
          <w:rFonts w:ascii="Arial" w:cs="Arial" w:eastAsia="Arial" w:hAnsi="Arial"/>
          <w:sz w:val="16"/>
          <w:szCs w:val="16"/>
          <w:color w:val="auto"/>
        </w:rPr>
        <w:t>Chadwick C. Deaton</w:t>
      </w:r>
    </w:p>
    <w:p>
      <w:pPr>
        <w:spacing w:after="0" w:line="2" w:lineRule="exact"/>
        <w:rPr>
          <w:rFonts w:ascii="Arial" w:cs="Arial" w:eastAsia="Arial" w:hAnsi="Arial"/>
          <w:sz w:val="16"/>
          <w:szCs w:val="16"/>
          <w:b w:val="1"/>
          <w:bCs w:val="1"/>
          <w:color w:val="009844"/>
        </w:rPr>
      </w:pPr>
    </w:p>
    <w:p>
      <w:pPr>
        <w:ind w:left="400" w:hanging="145"/>
        <w:spacing w:after="0"/>
        <w:tabs>
          <w:tab w:leader="none" w:pos="400" w:val="left"/>
        </w:tabs>
        <w:numPr>
          <w:ilvl w:val="0"/>
          <w:numId w:val="27"/>
        </w:numPr>
        <w:rPr>
          <w:rFonts w:ascii="Arial" w:cs="Arial" w:eastAsia="Arial" w:hAnsi="Arial"/>
          <w:sz w:val="16"/>
          <w:szCs w:val="16"/>
          <w:b w:val="1"/>
          <w:bCs w:val="1"/>
          <w:color w:val="009844"/>
        </w:rPr>
      </w:pPr>
      <w:r>
        <w:rPr>
          <w:rFonts w:ascii="Arial" w:cs="Arial" w:eastAsia="Arial" w:hAnsi="Arial"/>
          <w:sz w:val="16"/>
          <w:szCs w:val="16"/>
          <w:color w:val="auto"/>
        </w:rPr>
        <w:t>David H.Y. Ho</w:t>
      </w:r>
    </w:p>
    <w:p>
      <w:pPr>
        <w:spacing w:after="0" w:line="2" w:lineRule="exact"/>
        <w:rPr>
          <w:rFonts w:ascii="Arial" w:cs="Arial" w:eastAsia="Arial" w:hAnsi="Arial"/>
          <w:sz w:val="16"/>
          <w:szCs w:val="16"/>
          <w:b w:val="1"/>
          <w:bCs w:val="1"/>
          <w:color w:val="009844"/>
        </w:rPr>
      </w:pPr>
    </w:p>
    <w:p>
      <w:pPr>
        <w:ind w:left="400" w:hanging="145"/>
        <w:spacing w:after="0"/>
        <w:tabs>
          <w:tab w:leader="none" w:pos="400" w:val="left"/>
        </w:tabs>
        <w:numPr>
          <w:ilvl w:val="0"/>
          <w:numId w:val="27"/>
        </w:numPr>
        <w:rPr>
          <w:rFonts w:ascii="Arial" w:cs="Arial" w:eastAsia="Arial" w:hAnsi="Arial"/>
          <w:sz w:val="16"/>
          <w:szCs w:val="16"/>
          <w:b w:val="1"/>
          <w:bCs w:val="1"/>
          <w:color w:val="009844"/>
        </w:rPr>
      </w:pPr>
      <w:r>
        <w:rPr>
          <w:rFonts w:ascii="Arial" w:cs="Arial" w:eastAsia="Arial" w:hAnsi="Arial"/>
          <w:sz w:val="16"/>
          <w:szCs w:val="16"/>
          <w:color w:val="auto"/>
        </w:rPr>
        <w:t>Edward L. Monser</w:t>
      </w:r>
    </w:p>
    <w:p>
      <w:pPr>
        <w:spacing w:after="0" w:line="2" w:lineRule="exact"/>
        <w:rPr>
          <w:rFonts w:ascii="Arial" w:cs="Arial" w:eastAsia="Arial" w:hAnsi="Arial"/>
          <w:sz w:val="16"/>
          <w:szCs w:val="16"/>
          <w:b w:val="1"/>
          <w:bCs w:val="1"/>
          <w:color w:val="009844"/>
        </w:rPr>
      </w:pPr>
    </w:p>
    <w:p>
      <w:pPr>
        <w:ind w:left="400" w:hanging="145"/>
        <w:spacing w:after="0"/>
        <w:tabs>
          <w:tab w:leader="none" w:pos="400" w:val="left"/>
        </w:tabs>
        <w:numPr>
          <w:ilvl w:val="0"/>
          <w:numId w:val="27"/>
        </w:numPr>
        <w:rPr>
          <w:rFonts w:ascii="Arial" w:cs="Arial" w:eastAsia="Arial" w:hAnsi="Arial"/>
          <w:sz w:val="16"/>
          <w:szCs w:val="16"/>
          <w:b w:val="1"/>
          <w:bCs w:val="1"/>
          <w:color w:val="009844"/>
        </w:rPr>
      </w:pPr>
      <w:r>
        <w:rPr>
          <w:rFonts w:ascii="Arial" w:cs="Arial" w:eastAsia="Arial" w:hAnsi="Arial"/>
          <w:sz w:val="16"/>
          <w:szCs w:val="16"/>
          <w:color w:val="auto"/>
        </w:rPr>
        <w:t>Wayne T. Smith</w:t>
      </w:r>
    </w:p>
    <w:p>
      <w:pPr>
        <w:spacing w:after="0" w:line="14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Fiscal 2021 Meetings: </w:t>
      </w:r>
      <w:r>
        <w:rPr>
          <w:rFonts w:ascii="Arial" w:cs="Arial" w:eastAsia="Arial" w:hAnsi="Arial"/>
          <w:sz w:val="16"/>
          <w:szCs w:val="16"/>
          <w:b w:val="1"/>
          <w:bCs w:val="1"/>
          <w:color w:val="009844"/>
        </w:rPr>
        <w:t>3</w:t>
      </w:r>
    </w:p>
    <w:p>
      <w:pPr>
        <w:spacing w:after="0" w:line="16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Committee Report: </w:t>
      </w:r>
      <w:r>
        <w:rPr>
          <w:rFonts w:ascii="Arial" w:cs="Arial" w:eastAsia="Arial" w:hAnsi="Arial"/>
          <w:sz w:val="16"/>
          <w:szCs w:val="16"/>
          <w:b w:val="1"/>
          <w:bCs w:val="1"/>
          <w:color w:val="009844"/>
        </w:rPr>
        <w:t>Page 28</w:t>
      </w:r>
    </w:p>
    <w:p>
      <w:pPr>
        <w:spacing w:after="0" w:line="182" w:lineRule="exact"/>
        <w:rPr>
          <w:sz w:val="20"/>
          <w:szCs w:val="20"/>
          <w:color w:val="auto"/>
        </w:rPr>
      </w:pPr>
    </w:p>
    <w:p>
      <w:pPr>
        <w:ind w:left="140"/>
        <w:spacing w:after="0" w:line="245" w:lineRule="auto"/>
        <w:rPr>
          <w:sz w:val="20"/>
          <w:szCs w:val="20"/>
          <w:color w:val="auto"/>
        </w:rPr>
      </w:pPr>
      <w:r>
        <w:rPr>
          <w:rFonts w:ascii="Arial" w:cs="Arial" w:eastAsia="Arial" w:hAnsi="Arial"/>
          <w:sz w:val="16"/>
          <w:szCs w:val="16"/>
          <w:color w:val="auto"/>
        </w:rPr>
        <w:t>As a result of his retirement effective at the conclusion of the Annual Meeting, Mr. Deaton will no longer be a member of the Management Development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1405890</wp:posOffset>
            </wp:positionV>
            <wp:extent cx="845185" cy="20256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45185" cy="2025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009844"/>
        </w:rPr>
        <w:t>Primary Responsibilities</w:t>
      </w:r>
    </w:p>
    <w:p>
      <w:pPr>
        <w:spacing w:after="0" w:line="22" w:lineRule="exact"/>
        <w:rPr>
          <w:sz w:val="20"/>
          <w:szCs w:val="20"/>
          <w:color w:val="auto"/>
        </w:rPr>
      </w:pPr>
    </w:p>
    <w:p>
      <w:pPr>
        <w:ind w:left="280" w:right="80" w:hanging="149"/>
        <w:spacing w:after="0" w:line="243" w:lineRule="auto"/>
        <w:tabs>
          <w:tab w:leader="none" w:pos="283" w:val="left"/>
        </w:tabs>
        <w:numPr>
          <w:ilvl w:val="0"/>
          <w:numId w:val="28"/>
        </w:numPr>
        <w:rPr>
          <w:rFonts w:ascii="Arial" w:cs="Arial" w:eastAsia="Arial" w:hAnsi="Arial"/>
          <w:sz w:val="16"/>
          <w:szCs w:val="16"/>
          <w:b w:val="1"/>
          <w:bCs w:val="1"/>
          <w:color w:val="009844"/>
        </w:rPr>
      </w:pPr>
      <w:r>
        <w:rPr>
          <w:rFonts w:ascii="Arial" w:cs="Arial" w:eastAsia="Arial" w:hAnsi="Arial"/>
          <w:sz w:val="16"/>
          <w:szCs w:val="16"/>
          <w:color w:val="auto"/>
        </w:rPr>
        <w:t>The Committee establishes the executive officer compensation philosophy, design and strategy for the Company consistent with Company objectives and shareholder interests, determining CEO compensation and approving other executive officer compensation.</w:t>
      </w:r>
    </w:p>
    <w:p>
      <w:pPr>
        <w:ind w:left="280" w:hanging="149"/>
        <w:spacing w:after="0" w:line="243" w:lineRule="auto"/>
        <w:tabs>
          <w:tab w:leader="none" w:pos="283" w:val="left"/>
        </w:tabs>
        <w:numPr>
          <w:ilvl w:val="0"/>
          <w:numId w:val="28"/>
        </w:numPr>
        <w:rPr>
          <w:rFonts w:ascii="Arial" w:cs="Arial" w:eastAsia="Arial" w:hAnsi="Arial"/>
          <w:sz w:val="16"/>
          <w:szCs w:val="16"/>
          <w:b w:val="1"/>
          <w:bCs w:val="1"/>
          <w:color w:val="009844"/>
        </w:rPr>
      </w:pPr>
      <w:r>
        <w:rPr>
          <w:rFonts w:ascii="Arial" w:cs="Arial" w:eastAsia="Arial" w:hAnsi="Arial"/>
          <w:sz w:val="16"/>
          <w:szCs w:val="16"/>
          <w:color w:val="auto"/>
        </w:rPr>
        <w:t>The Committee approves performance objectives relevant to the compensation of the CEO, establishing the process for and leading the Board in evaluation of the performance of the CEO and providing oversight of the CEO’s evaluation of the performance of our other executive officers.</w:t>
      </w:r>
    </w:p>
    <w:p>
      <w:pPr>
        <w:ind w:left="280" w:right="560" w:hanging="149"/>
        <w:spacing w:after="0" w:line="243" w:lineRule="auto"/>
        <w:tabs>
          <w:tab w:leader="none" w:pos="283" w:val="left"/>
        </w:tabs>
        <w:numPr>
          <w:ilvl w:val="0"/>
          <w:numId w:val="28"/>
        </w:numPr>
        <w:rPr>
          <w:rFonts w:ascii="Arial" w:cs="Arial" w:eastAsia="Arial" w:hAnsi="Arial"/>
          <w:sz w:val="16"/>
          <w:szCs w:val="16"/>
          <w:b w:val="1"/>
          <w:bCs w:val="1"/>
          <w:color w:val="009844"/>
        </w:rPr>
      </w:pPr>
      <w:r>
        <w:rPr>
          <w:rFonts w:ascii="Arial" w:cs="Arial" w:eastAsia="Arial" w:hAnsi="Arial"/>
          <w:sz w:val="16"/>
          <w:szCs w:val="16"/>
          <w:color w:val="auto"/>
        </w:rPr>
        <w:t>The Committee oversees CEO succession planning and the development and evaluation of potential candidates for other executive officer positions.</w:t>
      </w:r>
    </w:p>
    <w:p>
      <w:pPr>
        <w:ind w:left="280" w:right="140" w:hanging="149"/>
        <w:spacing w:after="0" w:line="259" w:lineRule="auto"/>
        <w:tabs>
          <w:tab w:leader="none" w:pos="283" w:val="left"/>
        </w:tabs>
        <w:numPr>
          <w:ilvl w:val="0"/>
          <w:numId w:val="28"/>
        </w:numPr>
        <w:rPr>
          <w:rFonts w:ascii="Arial" w:cs="Arial" w:eastAsia="Arial" w:hAnsi="Arial"/>
          <w:sz w:val="15"/>
          <w:szCs w:val="15"/>
          <w:b w:val="1"/>
          <w:bCs w:val="1"/>
          <w:color w:val="009844"/>
        </w:rPr>
      </w:pPr>
      <w:r>
        <w:rPr>
          <w:rFonts w:ascii="Arial" w:cs="Arial" w:eastAsia="Arial" w:hAnsi="Arial"/>
          <w:sz w:val="15"/>
          <w:szCs w:val="15"/>
          <w:color w:val="auto"/>
        </w:rPr>
        <w:t>The Committee oversees the Company’s overall management compensation program, the design and administration of management incentive compensation plans, including equity programs and the design and administration of the Company’s retirement and welfare benefit plans.</w:t>
      </w:r>
    </w:p>
    <w:p>
      <w:pPr>
        <w:ind w:left="280" w:right="60" w:hanging="149"/>
        <w:spacing w:after="0" w:line="287" w:lineRule="auto"/>
        <w:tabs>
          <w:tab w:leader="none" w:pos="283" w:val="left"/>
        </w:tabs>
        <w:numPr>
          <w:ilvl w:val="0"/>
          <w:numId w:val="28"/>
        </w:numPr>
        <w:rPr>
          <w:rFonts w:ascii="Arial" w:cs="Arial" w:eastAsia="Arial" w:hAnsi="Arial"/>
          <w:sz w:val="15"/>
          <w:szCs w:val="15"/>
          <w:b w:val="1"/>
          <w:bCs w:val="1"/>
          <w:color w:val="009844"/>
        </w:rPr>
      </w:pPr>
      <w:r>
        <w:rPr>
          <w:rFonts w:ascii="Arial" w:cs="Arial" w:eastAsia="Arial" w:hAnsi="Arial"/>
          <w:sz w:val="15"/>
          <w:szCs w:val="15"/>
          <w:color w:val="auto"/>
        </w:rPr>
        <w:t>The Committee periodically reviews and makes recommendations to the Board regarding progress with diversity practices and programs as applied to management development and performance.</w:t>
      </w:r>
    </w:p>
    <w:p>
      <w:pPr>
        <w:spacing w:after="0" w:line="120"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auto"/>
        </w:rPr>
        <w:t>The Committee’s charter permits it to delegate all or a portion of the authority granted to it by the Board to one or more Committee members, senior executives or subcommittees to the extent consistent with applicable laws, regulations and listing standards. The Company’s Delegation of Authority Policy reserves for the Board and the Committee all compensation and staffing decisions with respect to executive officers except as specifically delegated. The Committee charter also permits the Committee to retain a third party compensation consultant as needed.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009844"/>
        </w:rPr>
        <w:t>Management Development and Compensation Committee Charter</w:t>
      </w:r>
    </w:p>
    <w:p>
      <w:pPr>
        <w:spacing w:after="0" w:line="22" w:lineRule="exact"/>
        <w:rPr>
          <w:sz w:val="20"/>
          <w:szCs w:val="20"/>
          <w:color w:val="auto"/>
        </w:rPr>
      </w:pPr>
    </w:p>
    <w:p>
      <w:pPr>
        <w:ind w:left="280" w:right="280" w:hanging="149"/>
        <w:spacing w:after="0" w:line="254" w:lineRule="auto"/>
        <w:tabs>
          <w:tab w:leader="none" w:pos="283" w:val="left"/>
        </w:tabs>
        <w:numPr>
          <w:ilvl w:val="0"/>
          <w:numId w:val="29"/>
        </w:numPr>
        <w:rPr>
          <w:rFonts w:ascii="Arial" w:cs="Arial" w:eastAsia="Arial" w:hAnsi="Arial"/>
          <w:sz w:val="16"/>
          <w:szCs w:val="16"/>
          <w:b w:val="1"/>
          <w:bCs w:val="1"/>
          <w:color w:val="009844"/>
        </w:rPr>
      </w:pPr>
      <w:r>
        <w:rPr>
          <w:rFonts w:ascii="Arial" w:cs="Arial" w:eastAsia="Arial" w:hAnsi="Arial"/>
          <w:sz w:val="16"/>
          <w:szCs w:val="16"/>
          <w:color w:val="auto"/>
        </w:rPr>
        <w:t>The Management Development and Compensation Committee operates under a written charter that is available on our website at the address provided on page 20.</w:t>
      </w:r>
    </w:p>
    <w:p>
      <w:pPr>
        <w:spacing w:after="0" w:line="200" w:lineRule="exact"/>
        <w:rPr>
          <w:sz w:val="20"/>
          <w:szCs w:val="20"/>
          <w:color w:val="auto"/>
        </w:rPr>
      </w:pPr>
    </w:p>
    <w:p>
      <w:pPr>
        <w:sectPr>
          <w:pgSz w:w="11900" w:h="16838" w:orient="portrait"/>
          <w:cols w:equalWidth="0" w:num="2">
            <w:col w:w="3380" w:space="560"/>
            <w:col w:w="7300"/>
          </w:cols>
          <w:pgMar w:left="320" w:top="140" w:right="339"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7155180" cy="209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35"/>
          <w:szCs w:val="35"/>
          <w:color w:val="009A4B"/>
        </w:rPr>
        <w:t>Board Practices, Processes and Policies</w:t>
      </w:r>
    </w:p>
    <w:p>
      <w:pPr>
        <w:spacing w:after="0" w:line="221" w:lineRule="exact"/>
        <w:rPr>
          <w:sz w:val="20"/>
          <w:szCs w:val="20"/>
          <w:color w:val="auto"/>
        </w:rPr>
      </w:pPr>
    </w:p>
    <w:p>
      <w:pPr>
        <w:spacing w:after="0"/>
        <w:rPr>
          <w:sz w:val="20"/>
          <w:szCs w:val="20"/>
          <w:color w:val="auto"/>
        </w:rPr>
      </w:pPr>
      <w:r>
        <w:rPr>
          <w:rFonts w:ascii="Arial" w:cs="Arial" w:eastAsia="Arial" w:hAnsi="Arial"/>
          <w:sz w:val="28"/>
          <w:szCs w:val="28"/>
          <w:color w:val="15AE68"/>
        </w:rPr>
        <w:t>Board Meetings and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225"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36"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auto"/>
        </w:rPr>
        <w:t>During fiscal 2021, there were 12 meetings of the Board. No director attended fewer than 75% of the combined total of meetings of the Board and the committees on which he or she was serving during the time in which they served as a director (including Wayne T. Smith with respect to the three meetings of the Board held during fiscal 2021 after he became a director of the Company). In accordance with the Guidelines, all directors are expected to attend the Annual Meeting unless they have an emergency or unavoidable schedule conflict. All directors who were serving at the time attended the 2021 Annual Meeting of Shareholders.</w:t>
      </w:r>
    </w:p>
    <w:p>
      <w:pPr>
        <w:spacing w:after="0" w:line="200" w:lineRule="exact"/>
        <w:rPr>
          <w:sz w:val="20"/>
          <w:szCs w:val="20"/>
          <w:color w:val="auto"/>
        </w:rPr>
      </w:pPr>
    </w:p>
    <w:p>
      <w:pPr>
        <w:spacing w:after="0"/>
        <w:rPr>
          <w:sz w:val="20"/>
          <w:szCs w:val="20"/>
          <w:color w:val="auto"/>
        </w:rPr>
      </w:pPr>
      <w:r>
        <w:rPr>
          <w:rFonts w:ascii="Arial" w:cs="Arial" w:eastAsia="Arial" w:hAnsi="Arial"/>
          <w:sz w:val="28"/>
          <w:szCs w:val="28"/>
          <w:color w:val="15AE68"/>
        </w:rPr>
        <w:t>Board Performance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225"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36"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Each year the Board and its committees conduct self-evaluations of their performance. The evaluation format is established by the Corporate Governance and Nominating Committee. The Committee utilizes a survey format for performing Board and committee self-evaluations. The surveys are tailored to the Board and each committee and address, among other things, the responsibilities set forth in our Corporate Governance Guidelines and the charters of the respective committees. The results of these surveys were discussed by the Board and committees, respectively, and the committee Chairs discuss the results of their respective committee surveys with the Board. Individual directors are evaluated by the Corporate Governance and Nominating Committee at the time of nomination for reelection. This evaluation is conducted by a member of the Corporate Governance and Nominating Committee after soliciting input from other directors.</w:t>
      </w:r>
    </w:p>
    <w:p>
      <w:pPr>
        <w:spacing w:after="0" w:line="202" w:lineRule="exact"/>
        <w:rPr>
          <w:sz w:val="20"/>
          <w:szCs w:val="20"/>
          <w:color w:val="auto"/>
        </w:rPr>
      </w:pPr>
    </w:p>
    <w:p>
      <w:pPr>
        <w:spacing w:after="0"/>
        <w:rPr>
          <w:sz w:val="20"/>
          <w:szCs w:val="20"/>
          <w:color w:val="auto"/>
        </w:rPr>
      </w:pPr>
      <w:r>
        <w:rPr>
          <w:rFonts w:ascii="Arial" w:cs="Arial" w:eastAsia="Arial" w:hAnsi="Arial"/>
          <w:sz w:val="28"/>
          <w:szCs w:val="28"/>
          <w:color w:val="15AE68"/>
        </w:rPr>
        <w:t>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225"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36"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color w:val="auto"/>
        </w:rPr>
        <w:t>The Board has adopted Corporate Governance Guidelines for the Company in order to establish and maintain practices to govern the Company in accordance with the interests of our shareholders. The Guidelines set forth the governance practices the Board follows, including regarding Board leadership, director independence and qualifications, nomination and election of directors, director responsibilities, access to management, authority to retain independent advisors, director compensation and director orientation and education as well as the CEO performance assessment, management succession planning and assessment of Board and committee performance.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Board regularly reviews corporate governance developments and modifies the Guidelines as warranted.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7134225" cy="3378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34225" cy="337820"/>
                    </a:xfrm>
                    <a:prstGeom prst="rect">
                      <a:avLst/>
                    </a:prstGeom>
                    <a:noFill/>
                  </pic:spPr>
                </pic:pic>
              </a:graphicData>
            </a:graphic>
          </wp:anchor>
        </w:drawing>
      </w:r>
    </w:p>
    <w:p>
      <w:pPr>
        <w:spacing w:after="0" w:line="206" w:lineRule="exact"/>
        <w:rPr>
          <w:sz w:val="20"/>
          <w:szCs w:val="20"/>
          <w:color w:val="auto"/>
        </w:rPr>
      </w:pPr>
    </w:p>
    <w:p>
      <w:pPr>
        <w:ind w:left="100" w:right="200"/>
        <w:spacing w:after="0" w:line="275" w:lineRule="auto"/>
        <w:rPr>
          <w:sz w:val="20"/>
          <w:szCs w:val="20"/>
          <w:color w:val="auto"/>
        </w:rPr>
      </w:pPr>
      <w:r>
        <w:rPr>
          <w:rFonts w:ascii="Arial" w:cs="Arial" w:eastAsia="Arial" w:hAnsi="Arial"/>
          <w:sz w:val="16"/>
          <w:szCs w:val="16"/>
          <w:color w:val="auto"/>
        </w:rPr>
        <w:t xml:space="preserve">The Guidelines are available on the Company’s website at: </w:t>
      </w:r>
      <w:r>
        <w:rPr>
          <w:rFonts w:ascii="Arial" w:cs="Arial" w:eastAsia="Arial" w:hAnsi="Arial"/>
          <w:sz w:val="16"/>
          <w:szCs w:val="16"/>
          <w:i w:val="1"/>
          <w:iCs w:val="1"/>
          <w:color w:val="009A4B"/>
        </w:rPr>
        <w:t>www.airproducts.com/company/governance/board-of-directors/governance-guidelines.aspx</w:t>
      </w:r>
      <w:r>
        <w:rPr>
          <w:rFonts w:ascii="Arial" w:cs="Arial" w:eastAsia="Arial" w:hAnsi="Arial"/>
          <w:sz w:val="16"/>
          <w:szCs w:val="16"/>
          <w:color w:val="auto"/>
        </w:rPr>
        <w:t xml:space="preserve"> and are available in print upon request.</w:t>
      </w:r>
    </w:p>
    <w:p>
      <w:pPr>
        <w:spacing w:after="0" w:line="254" w:lineRule="exact"/>
        <w:rPr>
          <w:sz w:val="20"/>
          <w:szCs w:val="20"/>
          <w:color w:val="auto"/>
        </w:rPr>
      </w:pPr>
    </w:p>
    <w:p>
      <w:pPr>
        <w:spacing w:after="0"/>
        <w:rPr>
          <w:sz w:val="20"/>
          <w:szCs w:val="20"/>
          <w:color w:val="auto"/>
        </w:rPr>
      </w:pPr>
      <w:r>
        <w:rPr>
          <w:rFonts w:ascii="Arial" w:cs="Arial" w:eastAsia="Arial" w:hAnsi="Arial"/>
          <w:sz w:val="28"/>
          <w:szCs w:val="28"/>
          <w:color w:val="15AE68"/>
        </w:rPr>
        <w:t>Code of Conduct and Business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225"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36" w:lineRule="exact"/>
        <w:rPr>
          <w:sz w:val="20"/>
          <w:szCs w:val="20"/>
          <w:color w:val="auto"/>
        </w:rPr>
      </w:pPr>
    </w:p>
    <w:p>
      <w:pPr>
        <w:ind w:right="80"/>
        <w:spacing w:after="0" w:line="245" w:lineRule="auto"/>
        <w:rPr>
          <w:sz w:val="20"/>
          <w:szCs w:val="20"/>
          <w:color w:val="auto"/>
        </w:rPr>
      </w:pPr>
      <w:r>
        <w:rPr>
          <w:rFonts w:ascii="Arial" w:cs="Arial" w:eastAsia="Arial" w:hAnsi="Arial"/>
          <w:sz w:val="16"/>
          <w:szCs w:val="16"/>
          <w:color w:val="auto"/>
        </w:rPr>
        <w:t>Our Code of Conduct and Business Ethics applies to all full and part-time employees of the Company and its subsidiaries and other affiliates, including our principal executive officer, principal financial officer and principal accounting officer, as well as our directors. The Code of Conduct addresses such topics as conflicts of interest, confidentiality, protection and proper use of Company assets and compliance with laws and regulations. The Code of Conduct was most recently amended in 2021. We will post any amendments or waivers to the Code of Conduct on our website. Directors, officers and employees certify annually that they will comply with the Code of Conduct.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We achieved 100% training and certification in the Code of Conduct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7134225" cy="3378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34225" cy="337820"/>
                    </a:xfrm>
                    <a:prstGeom prst="rect">
                      <a:avLst/>
                    </a:prstGeom>
                    <a:noFill/>
                  </pic:spPr>
                </pic:pic>
              </a:graphicData>
            </a:graphic>
          </wp:anchor>
        </w:drawing>
      </w:r>
    </w:p>
    <w:p>
      <w:pPr>
        <w:spacing w:after="0" w:line="206" w:lineRule="exact"/>
        <w:rPr>
          <w:sz w:val="20"/>
          <w:szCs w:val="20"/>
          <w:color w:val="auto"/>
        </w:rPr>
      </w:pPr>
    </w:p>
    <w:p>
      <w:pPr>
        <w:ind w:left="100" w:right="540"/>
        <w:spacing w:after="0" w:line="275" w:lineRule="auto"/>
        <w:rPr>
          <w:sz w:val="20"/>
          <w:szCs w:val="20"/>
          <w:color w:val="auto"/>
        </w:rPr>
      </w:pPr>
      <w:r>
        <w:rPr>
          <w:rFonts w:ascii="Arial" w:cs="Arial" w:eastAsia="Arial" w:hAnsi="Arial"/>
          <w:sz w:val="16"/>
          <w:szCs w:val="16"/>
          <w:color w:val="auto"/>
        </w:rPr>
        <w:t xml:space="preserve">The Code of Conduct can be found on the Company’s website at </w:t>
      </w:r>
      <w:r>
        <w:rPr>
          <w:rFonts w:ascii="Arial" w:cs="Arial" w:eastAsia="Arial" w:hAnsi="Arial"/>
          <w:sz w:val="16"/>
          <w:szCs w:val="16"/>
          <w:i w:val="1"/>
          <w:iCs w:val="1"/>
          <w:color w:val="009A4B"/>
        </w:rPr>
        <w:t>www.airproducts.com/company/governance/code-of-conduct.aspx</w:t>
      </w:r>
      <w:r>
        <w:rPr>
          <w:rFonts w:ascii="Arial" w:cs="Arial" w:eastAsia="Arial" w:hAnsi="Arial"/>
          <w:sz w:val="16"/>
          <w:szCs w:val="16"/>
          <w:color w:val="auto"/>
        </w:rPr>
        <w:t xml:space="preserve"> and is available in print upon request.</w:t>
      </w:r>
    </w:p>
    <w:p>
      <w:pPr>
        <w:spacing w:after="0" w:line="17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7155180" cy="209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28"/>
          <w:szCs w:val="28"/>
          <w:color w:val="15AE68"/>
        </w:rPr>
        <w:t>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225"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36"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The Board recognizes that transactions with related persons can present actual or potential conflicts of interest and wants to ensure that Company transactions are based solely on the best interests of the Company. Accordingly, the Board has delegated responsibility to the Audit and Finance Committee to review transactions between the Company and related persons. The Audit and Finance Committee has adopted a written policy establishing procedures for the review of related person transactions.</w:t>
      </w:r>
    </w:p>
    <w:p>
      <w:pPr>
        <w:spacing w:after="0" w:line="151"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A related person transaction is a transaction between the Company and a director, executive officer or 5% or more shareholder, any of their respective immediate family members or a company or other entity in which any of these persons has a direct or indirect material interest. The policy specifically excludes certain types of transactions, which the Audit and Finance Committee deems to be immaterial. Pursuant to the Audit and Finance Committee policy, related person transactions must be preapproved by the Committee or, in the event of an inadvertent failure to bring the transaction to the Committee for preapproval, ratified by the Committee. In deciding whether to approve or ratify a related person transaction, the Committee considers the benefits of the transaction to the Company, the impact on a director’s independence if a director or a director’s family member or affiliate is involved, the availability of comparable sources for products and services, the terms of the transaction and terms available to third parties for similar transactions. The Audit and Finance Committee Chair is authorized to approve related person transactions when it is impractical or undesirable to wait until the next Committee meeting for approval. Such Chair-approved transactions must be reported to the Committee at its next meeting. Since the beginning of fiscal 2021 we have not engaged in any transactions for which approval is required under our related person transaction policy.</w:t>
      </w:r>
    </w:p>
    <w:p>
      <w:pPr>
        <w:spacing w:after="0" w:line="203" w:lineRule="exact"/>
        <w:rPr>
          <w:sz w:val="20"/>
          <w:szCs w:val="20"/>
          <w:color w:val="auto"/>
        </w:rPr>
      </w:pPr>
    </w:p>
    <w:p>
      <w:pPr>
        <w:spacing w:after="0"/>
        <w:rPr>
          <w:sz w:val="20"/>
          <w:szCs w:val="20"/>
          <w:color w:val="auto"/>
        </w:rPr>
      </w:pPr>
      <w:r>
        <w:rPr>
          <w:rFonts w:ascii="Arial" w:cs="Arial" w:eastAsia="Arial" w:hAnsi="Arial"/>
          <w:sz w:val="35"/>
          <w:szCs w:val="35"/>
          <w:color w:val="009A4B"/>
        </w:rPr>
        <w:t>Compensation of Directors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In fiscal 2021, our directors received compensation as set forth in the chart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Director Compensation Program</w:t>
            </w:r>
          </w:p>
        </w:tc>
        <w:tc>
          <w:tcPr>
            <w:tcW w:w="31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w:t>
            </w:r>
          </w:p>
        </w:tc>
      </w:tr>
      <w:tr>
        <w:trPr>
          <w:trHeight w:val="253"/>
        </w:trPr>
        <w:tc>
          <w:tcPr>
            <w:tcW w:w="8060" w:type="dxa"/>
            <w:vAlign w:val="bottom"/>
            <w:tcBorders>
              <w:bottom w:val="single" w:sz="8" w:color="949599"/>
            </w:tcBorders>
          </w:tcPr>
          <w:p>
            <w:pPr>
              <w:ind w:left="60"/>
              <w:spacing w:after="0" w:line="253" w:lineRule="exact"/>
              <w:rPr>
                <w:sz w:val="20"/>
                <w:szCs w:val="20"/>
                <w:color w:val="auto"/>
              </w:rPr>
            </w:pPr>
            <w:r>
              <w:rPr>
                <w:rFonts w:ascii="Arial" w:cs="Arial" w:eastAsia="Arial" w:hAnsi="Arial"/>
                <w:sz w:val="16"/>
                <w:szCs w:val="16"/>
                <w:color w:val="auto"/>
              </w:rPr>
              <w:t>Annual Deferred Stock Award (made immediately following annual meeting)</w:t>
            </w:r>
            <w:r>
              <w:rPr>
                <w:rFonts w:ascii="Arial" w:cs="Arial" w:eastAsia="Arial" w:hAnsi="Arial"/>
                <w:sz w:val="26"/>
                <w:szCs w:val="26"/>
                <w:color w:val="auto"/>
                <w:vertAlign w:val="superscript"/>
              </w:rPr>
              <w:t>(1)</w:t>
            </w:r>
          </w:p>
        </w:tc>
        <w:tc>
          <w:tcPr>
            <w:tcW w:w="3180" w:type="dxa"/>
            <w:vAlign w:val="bottom"/>
            <w:tcBorders>
              <w:bottom w:val="single" w:sz="8" w:color="949599"/>
            </w:tcBorders>
          </w:tcPr>
          <w:p>
            <w:pPr>
              <w:jc w:val="right"/>
              <w:ind w:right="21"/>
              <w:spacing w:after="0"/>
              <w:rPr>
                <w:sz w:val="20"/>
                <w:szCs w:val="20"/>
                <w:color w:val="auto"/>
              </w:rPr>
            </w:pPr>
            <w:r>
              <w:rPr>
                <w:rFonts w:ascii="Arial" w:cs="Arial" w:eastAsia="Arial" w:hAnsi="Arial"/>
                <w:sz w:val="16"/>
                <w:szCs w:val="16"/>
                <w:color w:val="auto"/>
              </w:rPr>
              <w:t>150,000</w:t>
            </w:r>
          </w:p>
        </w:tc>
      </w:tr>
      <w:tr>
        <w:trPr>
          <w:trHeight w:val="217"/>
        </w:trPr>
        <w:tc>
          <w:tcPr>
            <w:tcW w:w="8060" w:type="dxa"/>
            <w:vAlign w:val="bottom"/>
            <w:tcBorders>
              <w:bottom w:val="single" w:sz="8" w:color="949599"/>
            </w:tcBorders>
          </w:tcPr>
          <w:p>
            <w:pPr>
              <w:ind w:left="60"/>
              <w:spacing w:after="0"/>
              <w:rPr>
                <w:sz w:val="20"/>
                <w:szCs w:val="20"/>
                <w:color w:val="auto"/>
              </w:rPr>
            </w:pPr>
            <w:r>
              <w:rPr>
                <w:rFonts w:ascii="Arial" w:cs="Arial" w:eastAsia="Arial" w:hAnsi="Arial"/>
                <w:sz w:val="16"/>
                <w:szCs w:val="16"/>
                <w:color w:val="auto"/>
              </w:rPr>
              <w:t>Annual Cash Retainer</w:t>
            </w:r>
          </w:p>
        </w:tc>
        <w:tc>
          <w:tcPr>
            <w:tcW w:w="3180" w:type="dxa"/>
            <w:vAlign w:val="bottom"/>
            <w:tcBorders>
              <w:bottom w:val="single" w:sz="8" w:color="949599"/>
            </w:tcBorders>
          </w:tcPr>
          <w:p>
            <w:pPr>
              <w:jc w:val="right"/>
              <w:ind w:right="21"/>
              <w:spacing w:after="0"/>
              <w:rPr>
                <w:sz w:val="20"/>
                <w:szCs w:val="20"/>
                <w:color w:val="auto"/>
              </w:rPr>
            </w:pPr>
            <w:r>
              <w:rPr>
                <w:rFonts w:ascii="Arial" w:cs="Arial" w:eastAsia="Arial" w:hAnsi="Arial"/>
                <w:sz w:val="16"/>
                <w:szCs w:val="16"/>
                <w:color w:val="auto"/>
              </w:rPr>
              <w:t>120,000</w:t>
            </w:r>
          </w:p>
        </w:tc>
      </w:tr>
      <w:tr>
        <w:trPr>
          <w:trHeight w:val="220"/>
        </w:trPr>
        <w:tc>
          <w:tcPr>
            <w:tcW w:w="8060" w:type="dxa"/>
            <w:vAlign w:val="bottom"/>
            <w:tcBorders>
              <w:bottom w:val="single" w:sz="8" w:color="949599"/>
            </w:tcBorders>
          </w:tcPr>
          <w:p>
            <w:pPr>
              <w:ind w:left="60"/>
              <w:spacing w:after="0"/>
              <w:rPr>
                <w:sz w:val="20"/>
                <w:szCs w:val="20"/>
                <w:color w:val="auto"/>
              </w:rPr>
            </w:pPr>
            <w:r>
              <w:rPr>
                <w:rFonts w:ascii="Arial" w:cs="Arial" w:eastAsia="Arial" w:hAnsi="Arial"/>
                <w:sz w:val="16"/>
                <w:szCs w:val="16"/>
                <w:color w:val="auto"/>
              </w:rPr>
              <w:t>Lead Director Retainer</w:t>
            </w:r>
          </w:p>
        </w:tc>
        <w:tc>
          <w:tcPr>
            <w:tcW w:w="3180" w:type="dxa"/>
            <w:vAlign w:val="bottom"/>
            <w:tcBorders>
              <w:bottom w:val="single" w:sz="8" w:color="949599"/>
            </w:tcBorders>
          </w:tcPr>
          <w:p>
            <w:pPr>
              <w:jc w:val="right"/>
              <w:ind w:right="21"/>
              <w:spacing w:after="0"/>
              <w:rPr>
                <w:sz w:val="20"/>
                <w:szCs w:val="20"/>
                <w:color w:val="auto"/>
              </w:rPr>
            </w:pPr>
            <w:r>
              <w:rPr>
                <w:rFonts w:ascii="Arial" w:cs="Arial" w:eastAsia="Arial" w:hAnsi="Arial"/>
                <w:sz w:val="16"/>
                <w:szCs w:val="16"/>
                <w:color w:val="auto"/>
              </w:rPr>
              <w:t>25,000</w:t>
            </w:r>
          </w:p>
        </w:tc>
      </w:tr>
      <w:tr>
        <w:trPr>
          <w:trHeight w:val="220"/>
        </w:trPr>
        <w:tc>
          <w:tcPr>
            <w:tcW w:w="8060" w:type="dxa"/>
            <w:vAlign w:val="bottom"/>
            <w:tcBorders>
              <w:bottom w:val="single" w:sz="8" w:color="949599"/>
            </w:tcBorders>
          </w:tcPr>
          <w:p>
            <w:pPr>
              <w:ind w:left="60"/>
              <w:spacing w:after="0"/>
              <w:rPr>
                <w:sz w:val="20"/>
                <w:szCs w:val="20"/>
                <w:color w:val="auto"/>
              </w:rPr>
            </w:pPr>
            <w:r>
              <w:rPr>
                <w:rFonts w:ascii="Arial" w:cs="Arial" w:eastAsia="Arial" w:hAnsi="Arial"/>
                <w:sz w:val="16"/>
                <w:szCs w:val="16"/>
                <w:color w:val="auto"/>
              </w:rPr>
              <w:t>Audit and Finance Committee Chair Retainer</w:t>
            </w:r>
          </w:p>
        </w:tc>
        <w:tc>
          <w:tcPr>
            <w:tcW w:w="3180" w:type="dxa"/>
            <w:vAlign w:val="bottom"/>
            <w:tcBorders>
              <w:bottom w:val="single" w:sz="8" w:color="949599"/>
            </w:tcBorders>
          </w:tcPr>
          <w:p>
            <w:pPr>
              <w:jc w:val="right"/>
              <w:ind w:right="21"/>
              <w:spacing w:after="0"/>
              <w:rPr>
                <w:sz w:val="20"/>
                <w:szCs w:val="20"/>
                <w:color w:val="auto"/>
              </w:rPr>
            </w:pPr>
            <w:r>
              <w:rPr>
                <w:rFonts w:ascii="Arial" w:cs="Arial" w:eastAsia="Arial" w:hAnsi="Arial"/>
                <w:sz w:val="16"/>
                <w:szCs w:val="16"/>
                <w:color w:val="auto"/>
              </w:rPr>
              <w:t>25,000</w:t>
            </w:r>
          </w:p>
        </w:tc>
      </w:tr>
      <w:tr>
        <w:trPr>
          <w:trHeight w:val="220"/>
        </w:trPr>
        <w:tc>
          <w:tcPr>
            <w:tcW w:w="8060" w:type="dxa"/>
            <w:vAlign w:val="bottom"/>
            <w:tcBorders>
              <w:bottom w:val="single" w:sz="8" w:color="949599"/>
            </w:tcBorders>
          </w:tcPr>
          <w:p>
            <w:pPr>
              <w:ind w:left="60"/>
              <w:spacing w:after="0"/>
              <w:rPr>
                <w:sz w:val="20"/>
                <w:szCs w:val="20"/>
                <w:color w:val="auto"/>
              </w:rPr>
            </w:pPr>
            <w:r>
              <w:rPr>
                <w:rFonts w:ascii="Arial" w:cs="Arial" w:eastAsia="Arial" w:hAnsi="Arial"/>
                <w:sz w:val="16"/>
                <w:szCs w:val="16"/>
                <w:color w:val="auto"/>
              </w:rPr>
              <w:t>Management Development and Compensation Committee Chair Retainer</w:t>
            </w:r>
          </w:p>
        </w:tc>
        <w:tc>
          <w:tcPr>
            <w:tcW w:w="3180" w:type="dxa"/>
            <w:vAlign w:val="bottom"/>
            <w:tcBorders>
              <w:bottom w:val="single" w:sz="8" w:color="949599"/>
            </w:tcBorders>
          </w:tcPr>
          <w:p>
            <w:pPr>
              <w:jc w:val="right"/>
              <w:ind w:right="21"/>
              <w:spacing w:after="0"/>
              <w:rPr>
                <w:sz w:val="20"/>
                <w:szCs w:val="20"/>
                <w:color w:val="auto"/>
              </w:rPr>
            </w:pPr>
            <w:r>
              <w:rPr>
                <w:rFonts w:ascii="Arial" w:cs="Arial" w:eastAsia="Arial" w:hAnsi="Arial"/>
                <w:sz w:val="16"/>
                <w:szCs w:val="16"/>
                <w:color w:val="auto"/>
              </w:rPr>
              <w:t>20,000</w:t>
            </w:r>
          </w:p>
        </w:tc>
      </w:tr>
      <w:tr>
        <w:trPr>
          <w:trHeight w:val="229"/>
        </w:trPr>
        <w:tc>
          <w:tcPr>
            <w:tcW w:w="80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Corporate Governance and Nominating Committee Chair</w:t>
            </w:r>
          </w:p>
        </w:tc>
        <w:tc>
          <w:tcPr>
            <w:tcW w:w="3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15,000</w:t>
            </w:r>
          </w:p>
        </w:tc>
      </w:tr>
    </w:tbl>
    <w:p>
      <w:pPr>
        <w:spacing w:after="0" w:line="14" w:lineRule="exact"/>
        <w:rPr>
          <w:sz w:val="20"/>
          <w:szCs w:val="20"/>
          <w:color w:val="auto"/>
        </w:rPr>
      </w:pPr>
    </w:p>
    <w:p>
      <w:pPr>
        <w:ind w:left="180" w:hanging="174"/>
        <w:spacing w:after="0"/>
        <w:tabs>
          <w:tab w:leader="none" w:pos="180" w:val="left"/>
        </w:tabs>
        <w:numPr>
          <w:ilvl w:val="0"/>
          <w:numId w:val="30"/>
        </w:numPr>
        <w:rPr>
          <w:rFonts w:ascii="Arial" w:cs="Arial" w:eastAsia="Arial" w:hAnsi="Arial"/>
          <w:sz w:val="21"/>
          <w:szCs w:val="21"/>
          <w:color w:val="auto"/>
          <w:vertAlign w:val="superscript"/>
        </w:rPr>
      </w:pPr>
      <w:r>
        <w:rPr>
          <w:rFonts w:ascii="Arial" w:cs="Arial" w:eastAsia="Arial" w:hAnsi="Arial"/>
          <w:sz w:val="13"/>
          <w:szCs w:val="13"/>
          <w:color w:val="auto"/>
        </w:rPr>
        <w:t>Directors elected to the Board after an annual meeting receive a prorated grant of deferred stock units based on the number of months remaining until the next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201295</wp:posOffset>
            </wp:positionV>
            <wp:extent cx="845185" cy="20256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45185" cy="202565"/>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7155180" cy="209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134225" cy="22821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34225" cy="2282190"/>
                    </a:xfrm>
                    <a:prstGeom prst="rect">
                      <a:avLst/>
                    </a:prstGeom>
                    <a:noFill/>
                  </pic:spPr>
                </pic:pic>
              </a:graphicData>
            </a:graphic>
          </wp:anchor>
        </w:drawing>
      </w:r>
    </w:p>
    <w:p>
      <w:pPr>
        <w:spacing w:after="0" w:line="387" w:lineRule="exact"/>
        <w:rPr>
          <w:sz w:val="20"/>
          <w:szCs w:val="20"/>
          <w:color w:val="auto"/>
        </w:rPr>
      </w:pPr>
    </w:p>
    <w:p>
      <w:pPr>
        <w:ind w:left="240" w:right="220"/>
        <w:spacing w:after="0" w:line="245" w:lineRule="auto"/>
        <w:rPr>
          <w:sz w:val="20"/>
          <w:szCs w:val="20"/>
          <w:color w:val="auto"/>
        </w:rPr>
      </w:pPr>
      <w:r>
        <w:rPr>
          <w:rFonts w:ascii="Arial" w:cs="Arial" w:eastAsia="Arial" w:hAnsi="Arial"/>
          <w:sz w:val="16"/>
          <w:szCs w:val="16"/>
          <w:color w:val="auto"/>
        </w:rPr>
        <w:t>Our Corporate Governance and Nominating Committee periodically undertakes a review of non-employee director compensation. The most recent review was completed in fiscal 2019 when the Committee reviewed a competitive assessment of directors’ compensation levels and practices among the Peer Reference Group at the time described on pages 44-45 as well as a broader industry component and survey data of companies with annual revenues between $2.5 billion and $10 billion. In connection with this review the Committee retained an external compensation consultant, Pearl Meyer &amp; Partners, LLC (“Pearl Meyer”), to provide independent advice and benchmarking with respect to director compensation practices.</w:t>
      </w:r>
    </w:p>
    <w:p>
      <w:pPr>
        <w:spacing w:after="0" w:line="192" w:lineRule="exact"/>
        <w:rPr>
          <w:sz w:val="20"/>
          <w:szCs w:val="20"/>
          <w:color w:val="auto"/>
        </w:rPr>
      </w:pPr>
    </w:p>
    <w:p>
      <w:pPr>
        <w:jc w:val="both"/>
        <w:ind w:left="240" w:right="260"/>
        <w:spacing w:after="0" w:line="246" w:lineRule="auto"/>
        <w:rPr>
          <w:sz w:val="20"/>
          <w:szCs w:val="20"/>
          <w:color w:val="auto"/>
        </w:rPr>
      </w:pPr>
      <w:r>
        <w:rPr>
          <w:rFonts w:ascii="Arial" w:cs="Arial" w:eastAsia="Arial" w:hAnsi="Arial"/>
          <w:sz w:val="16"/>
          <w:szCs w:val="16"/>
          <w:color w:val="auto"/>
        </w:rPr>
        <w:t>Prior to retaining Pearl Meyer, the Committee assessed its independence and concluded that there were no conflicts of interest that would prevent Pearl Meyer from independently advising the Committee. In making this determination, the Committee considered, among other things, the fees to be paid as a percentage of Pearl Meyer’s consolidated revenues, policies and procedures established by Pearl Meyer to mitigate conflicts of interest and the lack of business and personal relationships between Pearl Meyer team members and the Company’s executive officers and Committee members.</w:t>
      </w:r>
    </w:p>
    <w:p>
      <w:pPr>
        <w:spacing w:after="0" w:line="191" w:lineRule="exact"/>
        <w:rPr>
          <w:sz w:val="20"/>
          <w:szCs w:val="20"/>
          <w:color w:val="auto"/>
        </w:rPr>
      </w:pPr>
    </w:p>
    <w:p>
      <w:pPr>
        <w:ind w:left="240" w:right="380"/>
        <w:spacing w:after="0" w:line="245" w:lineRule="auto"/>
        <w:rPr>
          <w:sz w:val="20"/>
          <w:szCs w:val="20"/>
          <w:color w:val="auto"/>
        </w:rPr>
      </w:pPr>
      <w:r>
        <w:rPr>
          <w:rFonts w:ascii="Arial" w:cs="Arial" w:eastAsia="Arial" w:hAnsi="Arial"/>
          <w:sz w:val="16"/>
          <w:szCs w:val="16"/>
          <w:color w:val="auto"/>
        </w:rPr>
        <w:t>As a result of this compensation review, the Committee determined that cash compensation, which was last adjusted in fiscal 2013, paid to the Company’s directors was significantly below the median of the Peer Reference Group on both an individual and aggregated basis and that, as a result, total compensation was significantly below the median as well. The Committee recommended, and the Board approved, an increase in the directors’ annual cash retainer to $120,000, beginning in fiscal 2020, which positioned cash and total compensation closer to, but still below, the median of the Peer Reference Group. This action is expected to maintain the competitiveness of the Company’s director compensation program and accordingly strengthen our ability to recruit and retain qualified directors.</w:t>
      </w:r>
    </w:p>
    <w:p>
      <w:pPr>
        <w:spacing w:after="0" w:line="351" w:lineRule="exact"/>
        <w:rPr>
          <w:sz w:val="20"/>
          <w:szCs w:val="20"/>
          <w:color w:val="auto"/>
        </w:rPr>
      </w:pPr>
    </w:p>
    <w:p>
      <w:pPr>
        <w:ind w:right="80"/>
        <w:spacing w:after="0" w:line="245" w:lineRule="auto"/>
        <w:rPr>
          <w:sz w:val="20"/>
          <w:szCs w:val="20"/>
          <w:color w:val="auto"/>
        </w:rPr>
      </w:pPr>
      <w:r>
        <w:rPr>
          <w:rFonts w:ascii="Arial" w:cs="Arial" w:eastAsia="Arial" w:hAnsi="Arial"/>
          <w:sz w:val="16"/>
          <w:szCs w:val="16"/>
          <w:color w:val="auto"/>
        </w:rPr>
        <w:t>Directors may voluntarily defer all or a part of their cash retainers under the Deferred Compensation Program for Directors. At the election of each director, voluntarily deferred amounts may be credited to deferred stock units or to an account that is credited with interest based on long-term corporate bond yields. Each deferred stock unit entitles the director to receive one share of Company stock upon payout, which generally occurs after the director’s service on the Board is over. Deferred stock units earn “dividend equivalents” equal to the dividends that would have been paid on one share of stock for each deferred stock unit owned by the director. Deferred retainers and dividend equivalents are credited on the last day of the quarter based on the NYSE closing price of a share of Company stock on the preceding trading day.</w:t>
      </w:r>
    </w:p>
    <w:p>
      <w:pPr>
        <w:spacing w:after="0" w:line="151" w:lineRule="exact"/>
        <w:rPr>
          <w:sz w:val="20"/>
          <w:szCs w:val="20"/>
          <w:color w:val="auto"/>
        </w:rPr>
      </w:pPr>
    </w:p>
    <w:p>
      <w:pPr>
        <w:ind w:right="160"/>
        <w:spacing w:after="0" w:line="246" w:lineRule="auto"/>
        <w:rPr>
          <w:sz w:val="20"/>
          <w:szCs w:val="20"/>
          <w:color w:val="auto"/>
        </w:rPr>
      </w:pPr>
      <w:r>
        <w:rPr>
          <w:rFonts w:ascii="Arial" w:cs="Arial" w:eastAsia="Arial" w:hAnsi="Arial"/>
          <w:sz w:val="16"/>
          <w:szCs w:val="16"/>
          <w:color w:val="auto"/>
        </w:rPr>
        <w:t>Directors are reimbursed for expenses incurred in performing their duties as directors. The Company covers directors under its directors and officers liability insurance policy. Directors are also covered by the business travel accident policy maintained by the Company and are eligible to participate in the Air Products Foundation’s charitable matching gift program. Under this program, for fiscal 2021 the Air Products Foundation matched donations of up to $10,000 per year made by employees and directors to qualifying non-profit organizations.</w:t>
      </w:r>
    </w:p>
    <w:p>
      <w:pPr>
        <w:spacing w:after="0" w:line="151"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auto"/>
        </w:rPr>
        <w:t>To emphasize the importance of directors’ long-term alignment with shareholders, the Board has adopted director stock ownership requirements. Directors are expected to own shares or share equivalents with a value (based on the NYSE closing price) equal to five times the annual cash retainer by the end of the fifth fiscal year after joining the Board. Directors are expected to increase their holdings to reflect an adjustment in the annual cash retainer within a reasonable period of time following the adjustment. Once a director has met the requirement, if there is a subsequent decline in the Company’s share price that causes the director’s ownership level to fall below this guideline, the director is expected to refrain from selling or transferring shares until the guideline is again satisfied. All directors are currently in compliance with the stock ownership guidelines for directors.</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7155180" cy="209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009A4B"/>
        </w:rPr>
        <w:t>FISCAL 2021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2261235</wp:posOffset>
            </wp:positionH>
            <wp:positionV relativeFrom="paragraph">
              <wp:posOffset>-57150</wp:posOffset>
            </wp:positionV>
            <wp:extent cx="487743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877435" cy="8255"/>
                    </a:xfrm>
                    <a:prstGeom prst="rect">
                      <a:avLst/>
                    </a:prstGeom>
                    <a:noFill/>
                  </pic:spPr>
                </pic:pic>
              </a:graphicData>
            </a:graphic>
          </wp:anchor>
        </w:drawing>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80" w:type="dxa"/>
            <w:vAlign w:val="bottom"/>
          </w:tcPr>
          <w:p>
            <w:pPr>
              <w:jc w:val="right"/>
              <w:ind w:right="183"/>
              <w:spacing w:after="0"/>
              <w:rPr>
                <w:sz w:val="20"/>
                <w:szCs w:val="20"/>
                <w:color w:val="auto"/>
              </w:rPr>
            </w:pPr>
            <w:r>
              <w:rPr>
                <w:rFonts w:ascii="Arial" w:cs="Arial" w:eastAsia="Arial" w:hAnsi="Arial"/>
                <w:sz w:val="14"/>
                <w:szCs w:val="14"/>
                <w:b w:val="1"/>
                <w:bCs w:val="1"/>
                <w:color w:val="auto"/>
              </w:rPr>
              <w:t>All Other</w:t>
            </w:r>
          </w:p>
        </w:tc>
        <w:tc>
          <w:tcPr>
            <w:tcW w:w="940" w:type="dxa"/>
            <w:vAlign w:val="bottom"/>
          </w:tcPr>
          <w:p>
            <w:pPr>
              <w:spacing w:after="0"/>
              <w:rPr>
                <w:sz w:val="14"/>
                <w:szCs w:val="14"/>
                <w:color w:val="auto"/>
              </w:rPr>
            </w:pPr>
          </w:p>
        </w:tc>
      </w:tr>
      <w:tr>
        <w:trPr>
          <w:trHeight w:val="188"/>
        </w:trPr>
        <w:tc>
          <w:tcPr>
            <w:tcW w:w="3600" w:type="dxa"/>
            <w:vAlign w:val="bottom"/>
          </w:tcPr>
          <w:p>
            <w:pPr>
              <w:spacing w:after="0"/>
              <w:rPr>
                <w:sz w:val="16"/>
                <w:szCs w:val="16"/>
                <w:color w:val="auto"/>
              </w:rPr>
            </w:pPr>
          </w:p>
        </w:tc>
        <w:tc>
          <w:tcPr>
            <w:tcW w:w="3420" w:type="dxa"/>
            <w:vAlign w:val="bottom"/>
          </w:tcPr>
          <w:p>
            <w:pPr>
              <w:jc w:val="right"/>
              <w:ind w:right="182"/>
              <w:spacing w:after="0" w:line="188" w:lineRule="exact"/>
              <w:rPr>
                <w:sz w:val="20"/>
                <w:szCs w:val="20"/>
                <w:color w:val="auto"/>
              </w:rPr>
            </w:pPr>
            <w:r>
              <w:rPr>
                <w:rFonts w:ascii="Arial" w:cs="Arial" w:eastAsia="Arial" w:hAnsi="Arial"/>
                <w:sz w:val="13"/>
                <w:szCs w:val="13"/>
                <w:b w:val="1"/>
                <w:bCs w:val="1"/>
                <w:color w:val="auto"/>
              </w:rPr>
              <w:t>Annual Retainers</w:t>
            </w:r>
            <w:r>
              <w:rPr>
                <w:rFonts w:ascii="Arial" w:cs="Arial" w:eastAsia="Arial" w:hAnsi="Arial"/>
                <w:sz w:val="21"/>
                <w:szCs w:val="21"/>
                <w:b w:val="1"/>
                <w:bCs w:val="1"/>
                <w:color w:val="auto"/>
                <w:vertAlign w:val="superscript"/>
              </w:rPr>
              <w:t>(1)</w:t>
            </w:r>
          </w:p>
        </w:tc>
        <w:tc>
          <w:tcPr>
            <w:tcW w:w="1600" w:type="dxa"/>
            <w:vAlign w:val="bottom"/>
          </w:tcPr>
          <w:p>
            <w:pPr>
              <w:jc w:val="right"/>
              <w:ind w:right="182"/>
              <w:spacing w:after="0" w:line="188" w:lineRule="exact"/>
              <w:rPr>
                <w:sz w:val="20"/>
                <w:szCs w:val="20"/>
                <w:color w:val="auto"/>
              </w:rPr>
            </w:pPr>
            <w:r>
              <w:rPr>
                <w:rFonts w:ascii="Arial" w:cs="Arial" w:eastAsia="Arial" w:hAnsi="Arial"/>
                <w:sz w:val="13"/>
                <w:szCs w:val="13"/>
                <w:b w:val="1"/>
                <w:bCs w:val="1"/>
                <w:color w:val="auto"/>
              </w:rPr>
              <w:t>Stock Awards</w:t>
            </w:r>
            <w:r>
              <w:rPr>
                <w:rFonts w:ascii="Arial" w:cs="Arial" w:eastAsia="Arial" w:hAnsi="Arial"/>
                <w:sz w:val="21"/>
                <w:szCs w:val="21"/>
                <w:b w:val="1"/>
                <w:bCs w:val="1"/>
                <w:color w:val="auto"/>
                <w:vertAlign w:val="superscript"/>
              </w:rPr>
              <w:t>(2)</w:t>
            </w:r>
          </w:p>
        </w:tc>
        <w:tc>
          <w:tcPr>
            <w:tcW w:w="1680" w:type="dxa"/>
            <w:vAlign w:val="bottom"/>
          </w:tcPr>
          <w:p>
            <w:pPr>
              <w:jc w:val="right"/>
              <w:ind w:right="183"/>
              <w:spacing w:after="0" w:line="188" w:lineRule="exact"/>
              <w:rPr>
                <w:sz w:val="20"/>
                <w:szCs w:val="20"/>
                <w:color w:val="auto"/>
              </w:rPr>
            </w:pPr>
            <w:r>
              <w:rPr>
                <w:rFonts w:ascii="Arial" w:cs="Arial" w:eastAsia="Arial" w:hAnsi="Arial"/>
                <w:sz w:val="13"/>
                <w:szCs w:val="13"/>
                <w:b w:val="1"/>
                <w:bCs w:val="1"/>
                <w:color w:val="auto"/>
              </w:rPr>
              <w:t>Compensation</w:t>
            </w:r>
            <w:r>
              <w:rPr>
                <w:rFonts w:ascii="Arial" w:cs="Arial" w:eastAsia="Arial" w:hAnsi="Arial"/>
                <w:sz w:val="21"/>
                <w:szCs w:val="21"/>
                <w:b w:val="1"/>
                <w:bCs w:val="1"/>
                <w:color w:val="auto"/>
                <w:vertAlign w:val="superscript"/>
              </w:rPr>
              <w:t>(3)</w:t>
            </w:r>
          </w:p>
        </w:tc>
        <w:tc>
          <w:tcPr>
            <w:tcW w:w="940" w:type="dxa"/>
            <w:vAlign w:val="bottom"/>
          </w:tcPr>
          <w:p>
            <w:pPr>
              <w:jc w:val="right"/>
              <w:ind w:right="22"/>
              <w:spacing w:after="0"/>
              <w:rPr>
                <w:sz w:val="20"/>
                <w:szCs w:val="20"/>
                <w:color w:val="auto"/>
              </w:rPr>
            </w:pPr>
            <w:r>
              <w:rPr>
                <w:rFonts w:ascii="Arial" w:cs="Arial" w:eastAsia="Arial" w:hAnsi="Arial"/>
                <w:sz w:val="14"/>
                <w:szCs w:val="14"/>
                <w:b w:val="1"/>
                <w:bCs w:val="1"/>
                <w:color w:val="auto"/>
              </w:rPr>
              <w:t>Total</w:t>
            </w:r>
          </w:p>
        </w:tc>
      </w:tr>
      <w:tr>
        <w:trPr>
          <w:trHeight w:val="193"/>
        </w:trPr>
        <w:tc>
          <w:tcPr>
            <w:tcW w:w="36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Name</w:t>
            </w:r>
          </w:p>
        </w:tc>
        <w:tc>
          <w:tcPr>
            <w:tcW w:w="34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w:t>
            </w:r>
          </w:p>
        </w:tc>
      </w:tr>
      <w:tr>
        <w:trPr>
          <w:trHeight w:val="253"/>
        </w:trPr>
        <w:tc>
          <w:tcPr>
            <w:tcW w:w="3600" w:type="dxa"/>
            <w:vAlign w:val="bottom"/>
            <w:tcBorders>
              <w:bottom w:val="single" w:sz="8" w:color="949599"/>
            </w:tcBorders>
          </w:tcPr>
          <w:p>
            <w:pPr>
              <w:ind w:left="60"/>
              <w:spacing w:after="0" w:line="253" w:lineRule="exact"/>
              <w:rPr>
                <w:sz w:val="20"/>
                <w:szCs w:val="20"/>
                <w:color w:val="auto"/>
              </w:rPr>
            </w:pPr>
            <w:r>
              <w:rPr>
                <w:rFonts w:ascii="Arial" w:cs="Arial" w:eastAsia="Arial" w:hAnsi="Arial"/>
                <w:sz w:val="16"/>
                <w:szCs w:val="16"/>
                <w:b w:val="1"/>
                <w:bCs w:val="1"/>
                <w:color w:val="009A4B"/>
              </w:rPr>
              <w:t>Susan K. Carter</w:t>
            </w:r>
            <w:r>
              <w:rPr>
                <w:rFonts w:ascii="Arial" w:cs="Arial" w:eastAsia="Arial" w:hAnsi="Arial"/>
                <w:sz w:val="26"/>
                <w:szCs w:val="26"/>
                <w:b w:val="1"/>
                <w:bCs w:val="1"/>
                <w:color w:val="009A4B"/>
                <w:vertAlign w:val="superscript"/>
              </w:rPr>
              <w:t>(4)</w:t>
            </w:r>
          </w:p>
        </w:tc>
        <w:tc>
          <w:tcPr>
            <w:tcW w:w="3420" w:type="dxa"/>
            <w:vAlign w:val="bottom"/>
            <w:tcBorders>
              <w:bottom w:val="single" w:sz="8" w:color="949599"/>
            </w:tcBorders>
          </w:tcPr>
          <w:p>
            <w:pPr>
              <w:jc w:val="right"/>
              <w:ind w:right="182"/>
              <w:spacing w:after="0"/>
              <w:rPr>
                <w:sz w:val="20"/>
                <w:szCs w:val="20"/>
                <w:color w:val="auto"/>
              </w:rPr>
            </w:pPr>
            <w:r>
              <w:rPr>
                <w:rFonts w:ascii="Arial" w:cs="Arial" w:eastAsia="Arial" w:hAnsi="Arial"/>
                <w:sz w:val="16"/>
                <w:szCs w:val="16"/>
                <w:color w:val="auto"/>
              </w:rPr>
              <w:t>120,000</w:t>
            </w:r>
          </w:p>
        </w:tc>
        <w:tc>
          <w:tcPr>
            <w:tcW w:w="1600" w:type="dxa"/>
            <w:vAlign w:val="bottom"/>
            <w:tcBorders>
              <w:bottom w:val="single" w:sz="8" w:color="949599"/>
            </w:tcBorders>
          </w:tcPr>
          <w:p>
            <w:pPr>
              <w:jc w:val="right"/>
              <w:ind w:right="182"/>
              <w:spacing w:after="0"/>
              <w:rPr>
                <w:sz w:val="20"/>
                <w:szCs w:val="20"/>
                <w:color w:val="auto"/>
              </w:rPr>
            </w:pPr>
            <w:r>
              <w:rPr>
                <w:rFonts w:ascii="Arial" w:cs="Arial" w:eastAsia="Arial" w:hAnsi="Arial"/>
                <w:sz w:val="16"/>
                <w:szCs w:val="16"/>
                <w:color w:val="auto"/>
              </w:rPr>
              <w:t>150,000</w:t>
            </w:r>
          </w:p>
        </w:tc>
        <w:tc>
          <w:tcPr>
            <w:tcW w:w="1680" w:type="dxa"/>
            <w:vAlign w:val="bottom"/>
            <w:tcBorders>
              <w:bottom w:val="single" w:sz="8" w:color="949599"/>
            </w:tcBorders>
          </w:tcPr>
          <w:p>
            <w:pPr>
              <w:jc w:val="right"/>
              <w:ind w:right="183"/>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949599"/>
            </w:tcBorders>
          </w:tcPr>
          <w:p>
            <w:pPr>
              <w:jc w:val="right"/>
              <w:ind w:right="22"/>
              <w:spacing w:after="0"/>
              <w:rPr>
                <w:sz w:val="20"/>
                <w:szCs w:val="20"/>
                <w:color w:val="auto"/>
              </w:rPr>
            </w:pPr>
            <w:r>
              <w:rPr>
                <w:rFonts w:ascii="Arial" w:cs="Arial" w:eastAsia="Arial" w:hAnsi="Arial"/>
                <w:sz w:val="16"/>
                <w:szCs w:val="16"/>
                <w:color w:val="auto"/>
              </w:rPr>
              <w:t>270,000</w:t>
            </w:r>
          </w:p>
        </w:tc>
      </w:tr>
      <w:tr>
        <w:trPr>
          <w:trHeight w:val="217"/>
        </w:trPr>
        <w:tc>
          <w:tcPr>
            <w:tcW w:w="3600" w:type="dxa"/>
            <w:vAlign w:val="bottom"/>
            <w:tcBorders>
              <w:bottom w:val="single" w:sz="8" w:color="949599"/>
            </w:tcBorders>
          </w:tcPr>
          <w:p>
            <w:pPr>
              <w:ind w:left="60"/>
              <w:spacing w:after="0"/>
              <w:rPr>
                <w:sz w:val="20"/>
                <w:szCs w:val="20"/>
                <w:color w:val="auto"/>
              </w:rPr>
            </w:pPr>
            <w:r>
              <w:rPr>
                <w:rFonts w:ascii="Arial" w:cs="Arial" w:eastAsia="Arial" w:hAnsi="Arial"/>
                <w:sz w:val="16"/>
                <w:szCs w:val="16"/>
                <w:b w:val="1"/>
                <w:bCs w:val="1"/>
                <w:color w:val="009A4B"/>
              </w:rPr>
              <w:t>Charles I. Cogut</w:t>
            </w:r>
          </w:p>
        </w:tc>
        <w:tc>
          <w:tcPr>
            <w:tcW w:w="3420" w:type="dxa"/>
            <w:vAlign w:val="bottom"/>
            <w:tcBorders>
              <w:bottom w:val="single" w:sz="8" w:color="949599"/>
            </w:tcBorders>
          </w:tcPr>
          <w:p>
            <w:pPr>
              <w:jc w:val="right"/>
              <w:ind w:right="182"/>
              <w:spacing w:after="0"/>
              <w:rPr>
                <w:sz w:val="20"/>
                <w:szCs w:val="20"/>
                <w:color w:val="auto"/>
              </w:rPr>
            </w:pPr>
            <w:r>
              <w:rPr>
                <w:rFonts w:ascii="Arial" w:cs="Arial" w:eastAsia="Arial" w:hAnsi="Arial"/>
                <w:sz w:val="16"/>
                <w:szCs w:val="16"/>
                <w:color w:val="auto"/>
              </w:rPr>
              <w:t>120,000</w:t>
            </w:r>
          </w:p>
        </w:tc>
        <w:tc>
          <w:tcPr>
            <w:tcW w:w="1600" w:type="dxa"/>
            <w:vAlign w:val="bottom"/>
            <w:tcBorders>
              <w:bottom w:val="single" w:sz="8" w:color="949599"/>
            </w:tcBorders>
          </w:tcPr>
          <w:p>
            <w:pPr>
              <w:jc w:val="right"/>
              <w:ind w:right="182"/>
              <w:spacing w:after="0"/>
              <w:rPr>
                <w:sz w:val="20"/>
                <w:szCs w:val="20"/>
                <w:color w:val="auto"/>
              </w:rPr>
            </w:pPr>
            <w:r>
              <w:rPr>
                <w:rFonts w:ascii="Arial" w:cs="Arial" w:eastAsia="Arial" w:hAnsi="Arial"/>
                <w:sz w:val="16"/>
                <w:szCs w:val="16"/>
                <w:color w:val="auto"/>
              </w:rPr>
              <w:t>150,000</w:t>
            </w:r>
          </w:p>
        </w:tc>
        <w:tc>
          <w:tcPr>
            <w:tcW w:w="1680" w:type="dxa"/>
            <w:vAlign w:val="bottom"/>
            <w:tcBorders>
              <w:bottom w:val="single" w:sz="8" w:color="949599"/>
            </w:tcBorders>
          </w:tcPr>
          <w:p>
            <w:pPr>
              <w:jc w:val="right"/>
              <w:ind w:right="183"/>
              <w:spacing w:after="0"/>
              <w:rPr>
                <w:sz w:val="20"/>
                <w:szCs w:val="20"/>
                <w:color w:val="auto"/>
              </w:rPr>
            </w:pPr>
            <w:r>
              <w:rPr>
                <w:rFonts w:ascii="Arial" w:cs="Arial" w:eastAsia="Arial" w:hAnsi="Arial"/>
                <w:sz w:val="16"/>
                <w:szCs w:val="16"/>
                <w:color w:val="auto"/>
              </w:rPr>
              <w:t>15,656</w:t>
            </w:r>
          </w:p>
        </w:tc>
        <w:tc>
          <w:tcPr>
            <w:tcW w:w="940" w:type="dxa"/>
            <w:vAlign w:val="bottom"/>
            <w:tcBorders>
              <w:bottom w:val="single" w:sz="8" w:color="949599"/>
            </w:tcBorders>
          </w:tcPr>
          <w:p>
            <w:pPr>
              <w:jc w:val="right"/>
              <w:ind w:right="22"/>
              <w:spacing w:after="0"/>
              <w:rPr>
                <w:sz w:val="20"/>
                <w:szCs w:val="20"/>
                <w:color w:val="auto"/>
              </w:rPr>
            </w:pPr>
            <w:r>
              <w:rPr>
                <w:rFonts w:ascii="Arial" w:cs="Arial" w:eastAsia="Arial" w:hAnsi="Arial"/>
                <w:sz w:val="16"/>
                <w:szCs w:val="16"/>
                <w:color w:val="auto"/>
              </w:rPr>
              <w:t>285,656</w:t>
            </w:r>
          </w:p>
        </w:tc>
      </w:tr>
      <w:tr>
        <w:trPr>
          <w:trHeight w:val="220"/>
        </w:trPr>
        <w:tc>
          <w:tcPr>
            <w:tcW w:w="3600" w:type="dxa"/>
            <w:vAlign w:val="bottom"/>
            <w:tcBorders>
              <w:bottom w:val="single" w:sz="8" w:color="949599"/>
            </w:tcBorders>
          </w:tcPr>
          <w:p>
            <w:pPr>
              <w:ind w:left="60"/>
              <w:spacing w:after="0"/>
              <w:rPr>
                <w:sz w:val="20"/>
                <w:szCs w:val="20"/>
                <w:color w:val="auto"/>
              </w:rPr>
            </w:pPr>
            <w:r>
              <w:rPr>
                <w:rFonts w:ascii="Arial" w:cs="Arial" w:eastAsia="Arial" w:hAnsi="Arial"/>
                <w:sz w:val="16"/>
                <w:szCs w:val="16"/>
                <w:b w:val="1"/>
                <w:bCs w:val="1"/>
                <w:color w:val="009A4B"/>
              </w:rPr>
              <w:t>Lisa A. Davis</w:t>
            </w:r>
          </w:p>
        </w:tc>
        <w:tc>
          <w:tcPr>
            <w:tcW w:w="3420" w:type="dxa"/>
            <w:vAlign w:val="bottom"/>
            <w:tcBorders>
              <w:bottom w:val="single" w:sz="8" w:color="949599"/>
            </w:tcBorders>
          </w:tcPr>
          <w:p>
            <w:pPr>
              <w:jc w:val="right"/>
              <w:ind w:right="182"/>
              <w:spacing w:after="0"/>
              <w:rPr>
                <w:sz w:val="20"/>
                <w:szCs w:val="20"/>
                <w:color w:val="auto"/>
              </w:rPr>
            </w:pPr>
            <w:r>
              <w:rPr>
                <w:rFonts w:ascii="Arial" w:cs="Arial" w:eastAsia="Arial" w:hAnsi="Arial"/>
                <w:sz w:val="16"/>
                <w:szCs w:val="16"/>
                <w:color w:val="auto"/>
              </w:rPr>
              <w:t>133,444</w:t>
            </w:r>
          </w:p>
        </w:tc>
        <w:tc>
          <w:tcPr>
            <w:tcW w:w="1600" w:type="dxa"/>
            <w:vAlign w:val="bottom"/>
            <w:tcBorders>
              <w:bottom w:val="single" w:sz="8" w:color="949599"/>
            </w:tcBorders>
          </w:tcPr>
          <w:p>
            <w:pPr>
              <w:jc w:val="right"/>
              <w:ind w:right="182"/>
              <w:spacing w:after="0"/>
              <w:rPr>
                <w:sz w:val="20"/>
                <w:szCs w:val="20"/>
                <w:color w:val="auto"/>
              </w:rPr>
            </w:pPr>
            <w:r>
              <w:rPr>
                <w:rFonts w:ascii="Arial" w:cs="Arial" w:eastAsia="Arial" w:hAnsi="Arial"/>
                <w:sz w:val="16"/>
                <w:szCs w:val="16"/>
                <w:color w:val="auto"/>
              </w:rPr>
              <w:t>150,000</w:t>
            </w:r>
          </w:p>
        </w:tc>
        <w:tc>
          <w:tcPr>
            <w:tcW w:w="1680" w:type="dxa"/>
            <w:vAlign w:val="bottom"/>
            <w:tcBorders>
              <w:bottom w:val="single" w:sz="8" w:color="949599"/>
            </w:tcBorders>
          </w:tcPr>
          <w:p>
            <w:pPr>
              <w:jc w:val="right"/>
              <w:ind w:right="183"/>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949599"/>
            </w:tcBorders>
          </w:tcPr>
          <w:p>
            <w:pPr>
              <w:jc w:val="right"/>
              <w:ind w:right="22"/>
              <w:spacing w:after="0"/>
              <w:rPr>
                <w:sz w:val="20"/>
                <w:szCs w:val="20"/>
                <w:color w:val="auto"/>
              </w:rPr>
            </w:pPr>
            <w:r>
              <w:rPr>
                <w:rFonts w:ascii="Arial" w:cs="Arial" w:eastAsia="Arial" w:hAnsi="Arial"/>
                <w:sz w:val="16"/>
                <w:szCs w:val="16"/>
                <w:color w:val="auto"/>
              </w:rPr>
              <w:t>283,444</w:t>
            </w:r>
          </w:p>
        </w:tc>
      </w:tr>
      <w:tr>
        <w:trPr>
          <w:trHeight w:val="249"/>
        </w:trPr>
        <w:tc>
          <w:tcPr>
            <w:tcW w:w="3600" w:type="dxa"/>
            <w:vAlign w:val="bottom"/>
            <w:tcBorders>
              <w:bottom w:val="single" w:sz="8" w:color="949599"/>
            </w:tcBorders>
          </w:tcPr>
          <w:p>
            <w:pPr>
              <w:ind w:left="60"/>
              <w:spacing w:after="0" w:line="248" w:lineRule="exact"/>
              <w:rPr>
                <w:sz w:val="20"/>
                <w:szCs w:val="20"/>
                <w:color w:val="auto"/>
              </w:rPr>
            </w:pPr>
            <w:r>
              <w:rPr>
                <w:rFonts w:ascii="Arial" w:cs="Arial" w:eastAsia="Arial" w:hAnsi="Arial"/>
                <w:sz w:val="16"/>
                <w:szCs w:val="16"/>
                <w:b w:val="1"/>
                <w:bCs w:val="1"/>
                <w:color w:val="009A4B"/>
              </w:rPr>
              <w:t>Chadwick C. Deaton</w:t>
            </w:r>
            <w:r>
              <w:rPr>
                <w:rFonts w:ascii="Arial" w:cs="Arial" w:eastAsia="Arial" w:hAnsi="Arial"/>
                <w:sz w:val="26"/>
                <w:szCs w:val="26"/>
                <w:b w:val="1"/>
                <w:bCs w:val="1"/>
                <w:color w:val="009A4B"/>
                <w:vertAlign w:val="superscript"/>
              </w:rPr>
              <w:t>(5)</w:t>
            </w:r>
          </w:p>
        </w:tc>
        <w:tc>
          <w:tcPr>
            <w:tcW w:w="3420" w:type="dxa"/>
            <w:vAlign w:val="bottom"/>
            <w:tcBorders>
              <w:bottom w:val="single" w:sz="8" w:color="949599"/>
            </w:tcBorders>
          </w:tcPr>
          <w:p>
            <w:pPr>
              <w:jc w:val="right"/>
              <w:ind w:right="182"/>
              <w:spacing w:after="0"/>
              <w:rPr>
                <w:sz w:val="20"/>
                <w:szCs w:val="20"/>
                <w:color w:val="auto"/>
              </w:rPr>
            </w:pPr>
            <w:r>
              <w:rPr>
                <w:rFonts w:ascii="Arial" w:cs="Arial" w:eastAsia="Arial" w:hAnsi="Arial"/>
                <w:sz w:val="16"/>
                <w:szCs w:val="16"/>
                <w:color w:val="auto"/>
              </w:rPr>
              <w:t>143,194</w:t>
            </w:r>
          </w:p>
        </w:tc>
        <w:tc>
          <w:tcPr>
            <w:tcW w:w="1600" w:type="dxa"/>
            <w:vAlign w:val="bottom"/>
            <w:tcBorders>
              <w:bottom w:val="single" w:sz="8" w:color="949599"/>
            </w:tcBorders>
          </w:tcPr>
          <w:p>
            <w:pPr>
              <w:jc w:val="right"/>
              <w:ind w:right="182"/>
              <w:spacing w:after="0"/>
              <w:rPr>
                <w:sz w:val="20"/>
                <w:szCs w:val="20"/>
                <w:color w:val="auto"/>
              </w:rPr>
            </w:pPr>
            <w:r>
              <w:rPr>
                <w:rFonts w:ascii="Arial" w:cs="Arial" w:eastAsia="Arial" w:hAnsi="Arial"/>
                <w:sz w:val="16"/>
                <w:szCs w:val="16"/>
                <w:color w:val="auto"/>
              </w:rPr>
              <w:t>150,000</w:t>
            </w:r>
          </w:p>
        </w:tc>
        <w:tc>
          <w:tcPr>
            <w:tcW w:w="1680" w:type="dxa"/>
            <w:vAlign w:val="bottom"/>
            <w:tcBorders>
              <w:bottom w:val="single" w:sz="8" w:color="949599"/>
            </w:tcBorders>
          </w:tcPr>
          <w:p>
            <w:pPr>
              <w:jc w:val="right"/>
              <w:ind w:right="183"/>
              <w:spacing w:after="0"/>
              <w:rPr>
                <w:sz w:val="20"/>
                <w:szCs w:val="20"/>
                <w:color w:val="auto"/>
              </w:rPr>
            </w:pPr>
            <w:r>
              <w:rPr>
                <w:rFonts w:ascii="Arial" w:cs="Arial" w:eastAsia="Arial" w:hAnsi="Arial"/>
                <w:sz w:val="16"/>
                <w:szCs w:val="16"/>
                <w:color w:val="auto"/>
              </w:rPr>
              <w:t>10,000</w:t>
            </w:r>
          </w:p>
        </w:tc>
        <w:tc>
          <w:tcPr>
            <w:tcW w:w="940" w:type="dxa"/>
            <w:vAlign w:val="bottom"/>
            <w:tcBorders>
              <w:bottom w:val="single" w:sz="8" w:color="949599"/>
            </w:tcBorders>
          </w:tcPr>
          <w:p>
            <w:pPr>
              <w:jc w:val="right"/>
              <w:ind w:right="22"/>
              <w:spacing w:after="0"/>
              <w:rPr>
                <w:sz w:val="20"/>
                <w:szCs w:val="20"/>
                <w:color w:val="auto"/>
              </w:rPr>
            </w:pPr>
            <w:r>
              <w:rPr>
                <w:rFonts w:ascii="Arial" w:cs="Arial" w:eastAsia="Arial" w:hAnsi="Arial"/>
                <w:sz w:val="16"/>
                <w:szCs w:val="16"/>
                <w:color w:val="auto"/>
              </w:rPr>
              <w:t>303,194</w:t>
            </w:r>
          </w:p>
        </w:tc>
      </w:tr>
      <w:tr>
        <w:trPr>
          <w:trHeight w:val="217"/>
        </w:trPr>
        <w:tc>
          <w:tcPr>
            <w:tcW w:w="3600" w:type="dxa"/>
            <w:vAlign w:val="bottom"/>
            <w:tcBorders>
              <w:bottom w:val="single" w:sz="8" w:color="949599"/>
            </w:tcBorders>
          </w:tcPr>
          <w:p>
            <w:pPr>
              <w:ind w:left="60"/>
              <w:spacing w:after="0"/>
              <w:rPr>
                <w:sz w:val="20"/>
                <w:szCs w:val="20"/>
                <w:color w:val="auto"/>
              </w:rPr>
            </w:pPr>
            <w:r>
              <w:rPr>
                <w:rFonts w:ascii="Arial" w:cs="Arial" w:eastAsia="Arial" w:hAnsi="Arial"/>
                <w:sz w:val="16"/>
                <w:szCs w:val="16"/>
                <w:b w:val="1"/>
                <w:bCs w:val="1"/>
                <w:color w:val="009A4B"/>
              </w:rPr>
              <w:t>David H.Y. Ho</w:t>
            </w:r>
          </w:p>
        </w:tc>
        <w:tc>
          <w:tcPr>
            <w:tcW w:w="3420" w:type="dxa"/>
            <w:vAlign w:val="bottom"/>
            <w:tcBorders>
              <w:bottom w:val="single" w:sz="8" w:color="949599"/>
            </w:tcBorders>
          </w:tcPr>
          <w:p>
            <w:pPr>
              <w:jc w:val="right"/>
              <w:ind w:right="182"/>
              <w:spacing w:after="0"/>
              <w:rPr>
                <w:sz w:val="20"/>
                <w:szCs w:val="20"/>
                <w:color w:val="auto"/>
              </w:rPr>
            </w:pPr>
            <w:r>
              <w:rPr>
                <w:rFonts w:ascii="Arial" w:cs="Arial" w:eastAsia="Arial" w:hAnsi="Arial"/>
                <w:sz w:val="16"/>
                <w:szCs w:val="16"/>
                <w:color w:val="auto"/>
              </w:rPr>
              <w:t>120,000</w:t>
            </w:r>
          </w:p>
        </w:tc>
        <w:tc>
          <w:tcPr>
            <w:tcW w:w="1600" w:type="dxa"/>
            <w:vAlign w:val="bottom"/>
            <w:tcBorders>
              <w:bottom w:val="single" w:sz="8" w:color="949599"/>
            </w:tcBorders>
          </w:tcPr>
          <w:p>
            <w:pPr>
              <w:jc w:val="right"/>
              <w:ind w:right="182"/>
              <w:spacing w:after="0"/>
              <w:rPr>
                <w:sz w:val="20"/>
                <w:szCs w:val="20"/>
                <w:color w:val="auto"/>
              </w:rPr>
            </w:pPr>
            <w:r>
              <w:rPr>
                <w:rFonts w:ascii="Arial" w:cs="Arial" w:eastAsia="Arial" w:hAnsi="Arial"/>
                <w:sz w:val="16"/>
                <w:szCs w:val="16"/>
                <w:color w:val="auto"/>
              </w:rPr>
              <w:t>150,000</w:t>
            </w:r>
          </w:p>
        </w:tc>
        <w:tc>
          <w:tcPr>
            <w:tcW w:w="1680" w:type="dxa"/>
            <w:vAlign w:val="bottom"/>
            <w:tcBorders>
              <w:bottom w:val="single" w:sz="8" w:color="949599"/>
            </w:tcBorders>
          </w:tcPr>
          <w:p>
            <w:pPr>
              <w:jc w:val="right"/>
              <w:ind w:right="183"/>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949599"/>
            </w:tcBorders>
          </w:tcPr>
          <w:p>
            <w:pPr>
              <w:jc w:val="right"/>
              <w:ind w:right="22"/>
              <w:spacing w:after="0"/>
              <w:rPr>
                <w:sz w:val="20"/>
                <w:szCs w:val="20"/>
                <w:color w:val="auto"/>
              </w:rPr>
            </w:pPr>
            <w:r>
              <w:rPr>
                <w:rFonts w:ascii="Arial" w:cs="Arial" w:eastAsia="Arial" w:hAnsi="Arial"/>
                <w:sz w:val="16"/>
                <w:szCs w:val="16"/>
                <w:color w:val="auto"/>
              </w:rPr>
              <w:t>270,000</w:t>
            </w:r>
          </w:p>
        </w:tc>
      </w:tr>
      <w:tr>
        <w:trPr>
          <w:trHeight w:val="220"/>
        </w:trPr>
        <w:tc>
          <w:tcPr>
            <w:tcW w:w="3600" w:type="dxa"/>
            <w:vAlign w:val="bottom"/>
            <w:tcBorders>
              <w:bottom w:val="single" w:sz="8" w:color="949599"/>
            </w:tcBorders>
          </w:tcPr>
          <w:p>
            <w:pPr>
              <w:ind w:left="60"/>
              <w:spacing w:after="0"/>
              <w:rPr>
                <w:sz w:val="20"/>
                <w:szCs w:val="20"/>
                <w:color w:val="auto"/>
              </w:rPr>
            </w:pPr>
            <w:r>
              <w:rPr>
                <w:rFonts w:ascii="Arial" w:cs="Arial" w:eastAsia="Arial" w:hAnsi="Arial"/>
                <w:sz w:val="16"/>
                <w:szCs w:val="16"/>
                <w:b w:val="1"/>
                <w:bCs w:val="1"/>
                <w:color w:val="009A4B"/>
              </w:rPr>
              <w:t>Edward L. Monser</w:t>
            </w:r>
          </w:p>
        </w:tc>
        <w:tc>
          <w:tcPr>
            <w:tcW w:w="3420" w:type="dxa"/>
            <w:vAlign w:val="bottom"/>
            <w:tcBorders>
              <w:bottom w:val="single" w:sz="8" w:color="949599"/>
            </w:tcBorders>
          </w:tcPr>
          <w:p>
            <w:pPr>
              <w:jc w:val="right"/>
              <w:ind w:right="182"/>
              <w:spacing w:after="0"/>
              <w:rPr>
                <w:sz w:val="20"/>
                <w:szCs w:val="20"/>
                <w:color w:val="auto"/>
              </w:rPr>
            </w:pPr>
            <w:r>
              <w:rPr>
                <w:rFonts w:ascii="Arial" w:cs="Arial" w:eastAsia="Arial" w:hAnsi="Arial"/>
                <w:sz w:val="16"/>
                <w:szCs w:val="16"/>
                <w:color w:val="auto"/>
              </w:rPr>
              <w:t>143,361</w:t>
            </w:r>
          </w:p>
        </w:tc>
        <w:tc>
          <w:tcPr>
            <w:tcW w:w="1600" w:type="dxa"/>
            <w:vAlign w:val="bottom"/>
            <w:tcBorders>
              <w:bottom w:val="single" w:sz="8" w:color="949599"/>
            </w:tcBorders>
          </w:tcPr>
          <w:p>
            <w:pPr>
              <w:jc w:val="right"/>
              <w:ind w:right="182"/>
              <w:spacing w:after="0"/>
              <w:rPr>
                <w:sz w:val="20"/>
                <w:szCs w:val="20"/>
                <w:color w:val="auto"/>
              </w:rPr>
            </w:pPr>
            <w:r>
              <w:rPr>
                <w:rFonts w:ascii="Arial" w:cs="Arial" w:eastAsia="Arial" w:hAnsi="Arial"/>
                <w:sz w:val="16"/>
                <w:szCs w:val="16"/>
                <w:color w:val="auto"/>
              </w:rPr>
              <w:t>150,000</w:t>
            </w:r>
          </w:p>
        </w:tc>
        <w:tc>
          <w:tcPr>
            <w:tcW w:w="1680" w:type="dxa"/>
            <w:vAlign w:val="bottom"/>
            <w:tcBorders>
              <w:bottom w:val="single" w:sz="8" w:color="949599"/>
            </w:tcBorders>
          </w:tcPr>
          <w:p>
            <w:pPr>
              <w:jc w:val="right"/>
              <w:ind w:right="183"/>
              <w:spacing w:after="0"/>
              <w:rPr>
                <w:sz w:val="20"/>
                <w:szCs w:val="20"/>
                <w:color w:val="auto"/>
              </w:rPr>
            </w:pPr>
            <w:r>
              <w:rPr>
                <w:rFonts w:ascii="Arial" w:cs="Arial" w:eastAsia="Arial" w:hAnsi="Arial"/>
                <w:sz w:val="16"/>
                <w:szCs w:val="16"/>
                <w:color w:val="auto"/>
              </w:rPr>
              <w:t>10,000</w:t>
            </w:r>
          </w:p>
        </w:tc>
        <w:tc>
          <w:tcPr>
            <w:tcW w:w="940" w:type="dxa"/>
            <w:vAlign w:val="bottom"/>
            <w:tcBorders>
              <w:bottom w:val="single" w:sz="8" w:color="949599"/>
            </w:tcBorders>
          </w:tcPr>
          <w:p>
            <w:pPr>
              <w:jc w:val="right"/>
              <w:ind w:right="22"/>
              <w:spacing w:after="0"/>
              <w:rPr>
                <w:sz w:val="20"/>
                <w:szCs w:val="20"/>
                <w:color w:val="auto"/>
              </w:rPr>
            </w:pPr>
            <w:r>
              <w:rPr>
                <w:rFonts w:ascii="Arial" w:cs="Arial" w:eastAsia="Arial" w:hAnsi="Arial"/>
                <w:sz w:val="16"/>
                <w:szCs w:val="16"/>
                <w:color w:val="auto"/>
              </w:rPr>
              <w:t>303,361</w:t>
            </w:r>
          </w:p>
        </w:tc>
      </w:tr>
      <w:tr>
        <w:trPr>
          <w:trHeight w:val="220"/>
        </w:trPr>
        <w:tc>
          <w:tcPr>
            <w:tcW w:w="3600" w:type="dxa"/>
            <w:vAlign w:val="bottom"/>
            <w:tcBorders>
              <w:bottom w:val="single" w:sz="8" w:color="949599"/>
            </w:tcBorders>
          </w:tcPr>
          <w:p>
            <w:pPr>
              <w:ind w:left="60"/>
              <w:spacing w:after="0"/>
              <w:rPr>
                <w:sz w:val="20"/>
                <w:szCs w:val="20"/>
                <w:color w:val="auto"/>
              </w:rPr>
            </w:pPr>
            <w:r>
              <w:rPr>
                <w:rFonts w:ascii="Arial" w:cs="Arial" w:eastAsia="Arial" w:hAnsi="Arial"/>
                <w:sz w:val="16"/>
                <w:szCs w:val="16"/>
                <w:b w:val="1"/>
                <w:bCs w:val="1"/>
                <w:color w:val="009A4B"/>
              </w:rPr>
              <w:t>Matthew H. Paull</w:t>
            </w:r>
          </w:p>
        </w:tc>
        <w:tc>
          <w:tcPr>
            <w:tcW w:w="3420" w:type="dxa"/>
            <w:vAlign w:val="bottom"/>
            <w:tcBorders>
              <w:bottom w:val="single" w:sz="8" w:color="949599"/>
            </w:tcBorders>
          </w:tcPr>
          <w:p>
            <w:pPr>
              <w:jc w:val="right"/>
              <w:ind w:right="182"/>
              <w:spacing w:after="0"/>
              <w:rPr>
                <w:sz w:val="20"/>
                <w:szCs w:val="20"/>
                <w:color w:val="auto"/>
              </w:rPr>
            </w:pPr>
            <w:r>
              <w:rPr>
                <w:rFonts w:ascii="Arial" w:cs="Arial" w:eastAsia="Arial" w:hAnsi="Arial"/>
                <w:sz w:val="16"/>
                <w:szCs w:val="16"/>
                <w:color w:val="auto"/>
              </w:rPr>
              <w:t>145,000</w:t>
            </w:r>
          </w:p>
        </w:tc>
        <w:tc>
          <w:tcPr>
            <w:tcW w:w="1600" w:type="dxa"/>
            <w:vAlign w:val="bottom"/>
            <w:tcBorders>
              <w:bottom w:val="single" w:sz="8" w:color="949599"/>
            </w:tcBorders>
          </w:tcPr>
          <w:p>
            <w:pPr>
              <w:jc w:val="right"/>
              <w:ind w:right="182"/>
              <w:spacing w:after="0"/>
              <w:rPr>
                <w:sz w:val="20"/>
                <w:szCs w:val="20"/>
                <w:color w:val="auto"/>
              </w:rPr>
            </w:pPr>
            <w:r>
              <w:rPr>
                <w:rFonts w:ascii="Arial" w:cs="Arial" w:eastAsia="Arial" w:hAnsi="Arial"/>
                <w:sz w:val="16"/>
                <w:szCs w:val="16"/>
                <w:color w:val="auto"/>
              </w:rPr>
              <w:t>150,000</w:t>
            </w:r>
          </w:p>
        </w:tc>
        <w:tc>
          <w:tcPr>
            <w:tcW w:w="1680" w:type="dxa"/>
            <w:vAlign w:val="bottom"/>
            <w:tcBorders>
              <w:bottom w:val="single" w:sz="8" w:color="949599"/>
            </w:tcBorders>
          </w:tcPr>
          <w:p>
            <w:pPr>
              <w:jc w:val="right"/>
              <w:ind w:right="183"/>
              <w:spacing w:after="0"/>
              <w:rPr>
                <w:sz w:val="20"/>
                <w:szCs w:val="20"/>
                <w:color w:val="auto"/>
              </w:rPr>
            </w:pPr>
            <w:r>
              <w:rPr>
                <w:rFonts w:ascii="Arial" w:cs="Arial" w:eastAsia="Arial" w:hAnsi="Arial"/>
                <w:sz w:val="16"/>
                <w:szCs w:val="16"/>
                <w:color w:val="auto"/>
              </w:rPr>
              <w:t>21,067</w:t>
            </w:r>
          </w:p>
        </w:tc>
        <w:tc>
          <w:tcPr>
            <w:tcW w:w="940" w:type="dxa"/>
            <w:vAlign w:val="bottom"/>
            <w:tcBorders>
              <w:bottom w:val="single" w:sz="8" w:color="949599"/>
            </w:tcBorders>
          </w:tcPr>
          <w:p>
            <w:pPr>
              <w:jc w:val="right"/>
              <w:ind w:right="22"/>
              <w:spacing w:after="0"/>
              <w:rPr>
                <w:sz w:val="20"/>
                <w:szCs w:val="20"/>
                <w:color w:val="auto"/>
              </w:rPr>
            </w:pPr>
            <w:r>
              <w:rPr>
                <w:rFonts w:ascii="Arial" w:cs="Arial" w:eastAsia="Arial" w:hAnsi="Arial"/>
                <w:sz w:val="16"/>
                <w:szCs w:val="16"/>
                <w:color w:val="auto"/>
              </w:rPr>
              <w:t>316,067</w:t>
            </w:r>
          </w:p>
        </w:tc>
      </w:tr>
      <w:tr>
        <w:trPr>
          <w:trHeight w:val="229"/>
        </w:trPr>
        <w:tc>
          <w:tcPr>
            <w:tcW w:w="36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9A4B"/>
              </w:rPr>
              <w:t>Wayne T. Smith</w:t>
            </w:r>
          </w:p>
        </w:tc>
        <w:tc>
          <w:tcPr>
            <w:tcW w:w="342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20,000</w:t>
            </w:r>
          </w:p>
        </w:tc>
        <w:tc>
          <w:tcPr>
            <w:tcW w:w="16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87,500</w:t>
            </w:r>
          </w:p>
        </w:tc>
        <w:tc>
          <w:tcPr>
            <w:tcW w:w="168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107,500</w:t>
            </w:r>
          </w:p>
        </w:tc>
      </w:tr>
    </w:tbl>
    <w:p>
      <w:pPr>
        <w:spacing w:after="0" w:line="85" w:lineRule="exact"/>
        <w:rPr>
          <w:sz w:val="20"/>
          <w:szCs w:val="20"/>
          <w:color w:val="auto"/>
        </w:rPr>
      </w:pPr>
    </w:p>
    <w:p>
      <w:pPr>
        <w:ind w:left="180" w:right="300" w:hanging="174"/>
        <w:spacing w:after="0" w:line="202" w:lineRule="auto"/>
        <w:tabs>
          <w:tab w:leader="none" w:pos="180" w:val="left"/>
        </w:tabs>
        <w:numPr>
          <w:ilvl w:val="0"/>
          <w:numId w:val="31"/>
        </w:numPr>
        <w:rPr>
          <w:rFonts w:ascii="Arial" w:cs="Arial" w:eastAsia="Arial" w:hAnsi="Arial"/>
          <w:sz w:val="21"/>
          <w:szCs w:val="21"/>
          <w:color w:val="auto"/>
          <w:vertAlign w:val="superscript"/>
        </w:rPr>
      </w:pPr>
      <w:r>
        <w:rPr>
          <w:rFonts w:ascii="Arial" w:cs="Arial" w:eastAsia="Arial" w:hAnsi="Arial"/>
          <w:sz w:val="13"/>
          <w:szCs w:val="13"/>
          <w:color w:val="auto"/>
        </w:rPr>
        <w:t>This column includes annual retainers and committee Chair and Lead Director retainers. Certain directors voluntarily elected to defer some or all of their cash retainers. Any amounts that have been deferred are included in this column.</w:t>
      </w:r>
    </w:p>
    <w:p>
      <w:pPr>
        <w:spacing w:after="0" w:line="70" w:lineRule="exact"/>
        <w:rPr>
          <w:rFonts w:ascii="Arial" w:cs="Arial" w:eastAsia="Arial" w:hAnsi="Arial"/>
          <w:sz w:val="21"/>
          <w:szCs w:val="21"/>
          <w:color w:val="auto"/>
          <w:vertAlign w:val="superscript"/>
        </w:rPr>
      </w:pPr>
    </w:p>
    <w:p>
      <w:pPr>
        <w:jc w:val="both"/>
        <w:ind w:left="180" w:right="60" w:hanging="174"/>
        <w:spacing w:after="0" w:line="217" w:lineRule="auto"/>
        <w:tabs>
          <w:tab w:leader="none" w:pos="180" w:val="left"/>
        </w:tabs>
        <w:numPr>
          <w:ilvl w:val="0"/>
          <w:numId w:val="31"/>
        </w:numPr>
        <w:rPr>
          <w:rFonts w:ascii="Arial" w:cs="Arial" w:eastAsia="Arial" w:hAnsi="Arial"/>
          <w:sz w:val="21"/>
          <w:szCs w:val="21"/>
          <w:color w:val="auto"/>
          <w:vertAlign w:val="superscript"/>
        </w:rPr>
      </w:pPr>
      <w:r>
        <w:rPr>
          <w:rFonts w:ascii="Arial" w:cs="Arial" w:eastAsia="Arial" w:hAnsi="Arial"/>
          <w:sz w:val="13"/>
          <w:szCs w:val="13"/>
          <w:color w:val="auto"/>
        </w:rPr>
        <w:t>This column shows the grant date fair value of the annual deferred stock unit grant for 2021 calculated in accordance with FASB ASC Topic 718. Deferred stock units earned by directors are fully expensed on the Company’s financial statements at the market value of a share of stock on the date of grant. The annual deferred stock unit grant is prorated for directors elected other than at the annual meeting. All deferred stock units credited to directors are fully vested.</w:t>
      </w:r>
    </w:p>
    <w:p>
      <w:pPr>
        <w:spacing w:after="0" w:line="70" w:lineRule="exact"/>
        <w:rPr>
          <w:rFonts w:ascii="Arial" w:cs="Arial" w:eastAsia="Arial" w:hAnsi="Arial"/>
          <w:sz w:val="21"/>
          <w:szCs w:val="21"/>
          <w:color w:val="auto"/>
          <w:vertAlign w:val="superscript"/>
        </w:rPr>
      </w:pPr>
    </w:p>
    <w:p>
      <w:pPr>
        <w:ind w:left="180" w:right="40" w:hanging="174"/>
        <w:spacing w:after="0" w:line="235" w:lineRule="auto"/>
        <w:tabs>
          <w:tab w:leader="none" w:pos="180" w:val="left"/>
        </w:tabs>
        <w:numPr>
          <w:ilvl w:val="0"/>
          <w:numId w:val="31"/>
        </w:numPr>
        <w:rPr>
          <w:rFonts w:ascii="Arial" w:cs="Arial" w:eastAsia="Arial" w:hAnsi="Arial"/>
          <w:sz w:val="21"/>
          <w:szCs w:val="21"/>
          <w:color w:val="auto"/>
          <w:vertAlign w:val="superscript"/>
        </w:rPr>
      </w:pPr>
      <w:r>
        <w:rPr>
          <w:rFonts w:ascii="Arial" w:cs="Arial" w:eastAsia="Arial" w:hAnsi="Arial"/>
          <w:sz w:val="13"/>
          <w:szCs w:val="13"/>
          <w:color w:val="auto"/>
        </w:rPr>
        <w:t>Amounts in this column reflect charitable matching contributions under the Air Products Foundation’s charitable matching gift program for Mr. Cogut, Mr. Deaton, Mr. Monser and Mr. Paull. For Mr. Cogut, the amount reflects a charitable matching contribution of $10,000 and interest considered to be above-market interest credited on his Deferred Compensation Program balance. For Mr. Paull, the amount reflects a charitable matching contribution of $9,391 and interest considered to be above-market interest credited on his Deferred Compensation Program balance. Interest is calculated for the Deferred Compensation Program using a Moody’s A-rated Corporate Bond Rate because this is comparable to the rate the Company pays its other creditors on long-term obligations. When this rate exceeds 120% of a rate set by the U.S. Internal Revenue Service for obligations of similar maturity, it is treated as above-market interest even though it is based on a market average for corporate bonds.</w:t>
      </w:r>
    </w:p>
    <w:p>
      <w:pPr>
        <w:ind w:left="180" w:hanging="174"/>
        <w:spacing w:after="0" w:line="238" w:lineRule="auto"/>
        <w:tabs>
          <w:tab w:leader="none" w:pos="180" w:val="left"/>
        </w:tabs>
        <w:numPr>
          <w:ilvl w:val="0"/>
          <w:numId w:val="31"/>
        </w:numPr>
        <w:rPr>
          <w:rFonts w:ascii="Arial" w:cs="Arial" w:eastAsia="Arial" w:hAnsi="Arial"/>
          <w:sz w:val="21"/>
          <w:szCs w:val="21"/>
          <w:color w:val="auto"/>
          <w:vertAlign w:val="superscript"/>
        </w:rPr>
      </w:pPr>
      <w:r>
        <w:rPr>
          <w:rFonts w:ascii="Arial" w:cs="Arial" w:eastAsia="Arial" w:hAnsi="Arial"/>
          <w:sz w:val="13"/>
          <w:szCs w:val="13"/>
          <w:color w:val="auto"/>
        </w:rPr>
        <w:t>Ms. Carter retired from the Board on September 30, 2021.</w:t>
      </w:r>
    </w:p>
    <w:p>
      <w:pPr>
        <w:spacing w:after="0" w:line="69" w:lineRule="exact"/>
        <w:rPr>
          <w:rFonts w:ascii="Arial" w:cs="Arial" w:eastAsia="Arial" w:hAnsi="Arial"/>
          <w:sz w:val="21"/>
          <w:szCs w:val="21"/>
          <w:color w:val="auto"/>
          <w:vertAlign w:val="superscript"/>
        </w:rPr>
      </w:pPr>
    </w:p>
    <w:p>
      <w:pPr>
        <w:ind w:left="180" w:hanging="174"/>
        <w:spacing w:after="0" w:line="187" w:lineRule="auto"/>
        <w:tabs>
          <w:tab w:leader="none" w:pos="180" w:val="left"/>
        </w:tabs>
        <w:numPr>
          <w:ilvl w:val="0"/>
          <w:numId w:val="31"/>
        </w:numPr>
        <w:rPr>
          <w:rFonts w:ascii="Arial" w:cs="Arial" w:eastAsia="Arial" w:hAnsi="Arial"/>
          <w:sz w:val="19"/>
          <w:szCs w:val="19"/>
          <w:color w:val="auto"/>
          <w:vertAlign w:val="superscript"/>
        </w:rPr>
      </w:pPr>
      <w:r>
        <w:rPr>
          <w:rFonts w:ascii="Arial" w:cs="Arial" w:eastAsia="Arial" w:hAnsi="Arial"/>
          <w:sz w:val="12"/>
          <w:szCs w:val="12"/>
          <w:color w:val="auto"/>
        </w:rPr>
        <w:t>Mr. Deaton will retire from the Board effective at the conclusion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201930</wp:posOffset>
            </wp:positionV>
            <wp:extent cx="845185" cy="20256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45185" cy="202565"/>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7155180" cy="209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134225" cy="149606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34225" cy="1496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44"/>
          <w:szCs w:val="44"/>
          <w:b w:val="1"/>
          <w:bCs w:val="1"/>
          <w:color w:val="009A4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290195</wp:posOffset>
            </wp:positionV>
            <wp:extent cx="7134225" cy="341503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34225" cy="341503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20"/>
        <w:spacing w:after="0"/>
        <w:rPr>
          <w:sz w:val="20"/>
          <w:szCs w:val="20"/>
          <w:color w:val="auto"/>
        </w:rPr>
      </w:pPr>
      <w:r>
        <w:rPr>
          <w:rFonts w:ascii="Arial" w:cs="Arial" w:eastAsia="Arial" w:hAnsi="Arial"/>
          <w:sz w:val="12"/>
          <w:szCs w:val="12"/>
          <w:b w:val="1"/>
          <w:bCs w:val="1"/>
          <w:color w:val="FFFFFF"/>
        </w:rPr>
        <w:t>PROPOSAL</w:t>
      </w:r>
    </w:p>
    <w:p>
      <w:pPr>
        <w:spacing w:after="0" w:line="22" w:lineRule="exact"/>
        <w:rPr>
          <w:sz w:val="20"/>
          <w:szCs w:val="20"/>
          <w:color w:val="auto"/>
        </w:rPr>
      </w:pPr>
    </w:p>
    <w:p>
      <w:pPr>
        <w:ind w:left="400"/>
        <w:spacing w:after="0"/>
        <w:rPr>
          <w:sz w:val="20"/>
          <w:szCs w:val="20"/>
          <w:color w:val="auto"/>
        </w:rPr>
      </w:pPr>
      <w:r>
        <w:rPr>
          <w:rFonts w:ascii="Arial" w:cs="Arial" w:eastAsia="Arial" w:hAnsi="Arial"/>
          <w:sz w:val="64"/>
          <w:szCs w:val="64"/>
          <w:color w:val="FFFFFF"/>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Advisory Vote on Executive Officer Compensation</w:t>
      </w:r>
    </w:p>
    <w:p>
      <w:pPr>
        <w:spacing w:after="0" w:line="172" w:lineRule="exact"/>
        <w:rPr>
          <w:sz w:val="20"/>
          <w:szCs w:val="20"/>
          <w:color w:val="auto"/>
        </w:rPr>
      </w:pPr>
    </w:p>
    <w:p>
      <w:pPr>
        <w:spacing w:after="0" w:line="244" w:lineRule="auto"/>
        <w:rPr>
          <w:sz w:val="20"/>
          <w:szCs w:val="20"/>
          <w:color w:val="auto"/>
        </w:rPr>
      </w:pPr>
      <w:r>
        <w:rPr>
          <w:rFonts w:ascii="Arial" w:cs="Arial" w:eastAsia="Arial" w:hAnsi="Arial"/>
          <w:sz w:val="16"/>
          <w:szCs w:val="16"/>
          <w:color w:val="1A1A1A"/>
        </w:rPr>
        <w:t>The Board is committed to excellence in governance and recognizes the interest our shareholders have in the Company’s executive compensation program. As a part of that commitment, and in accordance with SEC rules, our shareholders are asked to approve an advisory resolution on the compensation of our named executive officers, as disclosed in the Compensation Discussion and Analysis and accompanying executive compensation tables and narrative. This proposal, commonly known as a “say on pay” proposal, gives you the opportunity to endorse or not endorse our fiscal 2021 executive compensation program by voting for or against the following resolution:</w:t>
      </w:r>
    </w:p>
    <w:p>
      <w:pPr>
        <w:spacing w:after="0" w:line="155" w:lineRule="exact"/>
        <w:rPr>
          <w:sz w:val="20"/>
          <w:szCs w:val="20"/>
          <w:color w:val="auto"/>
        </w:rPr>
      </w:pPr>
    </w:p>
    <w:p>
      <w:pPr>
        <w:ind w:left="180" w:right="260"/>
        <w:spacing w:after="0" w:line="248" w:lineRule="auto"/>
        <w:rPr>
          <w:sz w:val="20"/>
          <w:szCs w:val="20"/>
          <w:color w:val="auto"/>
        </w:rPr>
      </w:pPr>
      <w:r>
        <w:rPr>
          <w:rFonts w:ascii="Arial" w:cs="Arial" w:eastAsia="Arial" w:hAnsi="Arial"/>
          <w:sz w:val="16"/>
          <w:szCs w:val="16"/>
          <w:color w:val="auto"/>
        </w:rPr>
        <w:t>RESOLVED, that the compensation of the named executive officers as discussed and disclosed in the Compensation Discussion and Analysis and the executive compensation tables and accompanying narrative is approved.</w:t>
      </w:r>
    </w:p>
    <w:p>
      <w:pPr>
        <w:spacing w:after="0" w:line="148"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Although the vote is non-binding, the Board and the Management Development and Compensation Committee will review the voting results. If there are a significant number of negative votes, we will seek to understand the concerns that influenced the vote and to address them in making future decisions regarding the Company’s executive compensation program. In accordance with the views of our shareholders, the Company conducts an advisory vote on its executive compensation program on an annual basis. The next such vote will be conducted at our 2023 Annual Meeting of Shareholders.</w:t>
      </w:r>
    </w:p>
    <w:p>
      <w:pPr>
        <w:spacing w:after="0" w:line="120"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b w:val="1"/>
          <w:bCs w:val="1"/>
          <w:color w:val="15AE68"/>
        </w:rPr>
        <w:t>As described in the Compensation Discussion and Analysis, our executive officer compensation program has been designed to support our long-term business strategies and encourage executive leadership to drive creation of shareholder value. It is aligned with the competitive market for talent, sensitive to Company performance and oriented to long-term incentives to maintain and improve the Company’s long-term profitability. We believe the program delivers reasonable pay that is strongly linked to Company performance.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1A1A1A"/>
        </w:rPr>
        <w:t xml:space="preserve">The Board recommends a vote </w:t>
      </w:r>
      <w:r>
        <w:rPr>
          <w:rFonts w:ascii="Arial" w:cs="Arial" w:eastAsia="Arial" w:hAnsi="Arial"/>
          <w:sz w:val="16"/>
          <w:szCs w:val="16"/>
          <w:color w:val="00A4E4"/>
        </w:rPr>
        <w:t>“FOR”</w:t>
      </w:r>
      <w:r>
        <w:rPr>
          <w:rFonts w:ascii="Arial" w:cs="Arial" w:eastAsia="Arial" w:hAnsi="Arial"/>
          <w:sz w:val="16"/>
          <w:szCs w:val="16"/>
          <w:color w:val="1A1A1A"/>
        </w:rPr>
        <w:t xml:space="preserve"> this resolution.</w:t>
      </w:r>
    </w:p>
    <w:p>
      <w:pPr>
        <w:spacing w:after="0" w:line="4167" w:lineRule="exact"/>
        <w:rPr>
          <w:sz w:val="20"/>
          <w:szCs w:val="20"/>
          <w:color w:val="auto"/>
        </w:rPr>
      </w:pPr>
    </w:p>
    <w:p>
      <w:pPr>
        <w:sectPr>
          <w:pgSz w:w="11900" w:h="16838" w:orient="portrait"/>
          <w:cols w:equalWidth="0" w:num="3">
            <w:col w:w="920" w:space="580"/>
            <w:col w:w="7200" w:space="580"/>
            <w:col w:w="1960"/>
          </w:cols>
          <w:pgMar w:left="320" w:top="140" w:right="339" w:bottom="1440" w:gutter="0" w:footer="0" w:header="0"/>
          <w:type w:val="continuous"/>
        </w:sectPr>
      </w:pPr>
    </w:p>
    <w:p>
      <w:pPr>
        <w:spacing w:after="0" w:line="79" w:lineRule="exact"/>
        <w:rPr>
          <w:sz w:val="20"/>
          <w:szCs w:val="20"/>
          <w:color w:val="auto"/>
        </w:rPr>
      </w:pPr>
    </w:p>
    <w:p>
      <w:pPr>
        <w:ind w:left="9480"/>
        <w:spacing w:after="0"/>
        <w:tabs>
          <w:tab w:leader="none" w:pos="1106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7155180" cy="209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p>
      <w:pPr>
        <w:ind w:right="1760"/>
        <w:spacing w:after="0" w:line="260" w:lineRule="auto"/>
        <w:rPr>
          <w:sz w:val="20"/>
          <w:szCs w:val="20"/>
          <w:color w:val="auto"/>
        </w:rPr>
      </w:pPr>
      <w:r>
        <w:rPr>
          <w:rFonts w:ascii="Arial" w:cs="Arial" w:eastAsia="Arial" w:hAnsi="Arial"/>
          <w:sz w:val="35"/>
          <w:szCs w:val="35"/>
          <w:color w:val="009A4B"/>
        </w:rPr>
        <w:t>Report of the Management Development and Compensation Committee</w:t>
      </w:r>
    </w:p>
    <w:p>
      <w:pPr>
        <w:spacing w:after="0" w:line="170"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The Management Development and Compensation Committee has reviewed and discussed with management the following Compensation Discussion and Analysis. Based on its review and discussions, the Committee recommended to the Board that the Compensation Discussion and Analysis be included in the proxy statement for the Company’s 2022 Annual Meeting of Shareholders and incorporated by reference in the Company’s Annual Report on Form 10-K for the fiscal year ended September 30, 2021.</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009A4B"/>
        </w:rPr>
        <w:t>Management Development and Compensation Committee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Lisa A. Davis, Chair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Chadwick C. Deaton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David H.Y. Ho</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Edward L. Monser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Wayne T. Smith</w:t>
      </w:r>
    </w:p>
    <w:p>
      <w:pPr>
        <w:spacing w:after="0" w:line="212" w:lineRule="exact"/>
        <w:rPr>
          <w:sz w:val="20"/>
          <w:szCs w:val="20"/>
          <w:color w:val="auto"/>
        </w:rPr>
      </w:pPr>
    </w:p>
    <w:p>
      <w:pPr>
        <w:spacing w:after="0"/>
        <w:rPr>
          <w:sz w:val="20"/>
          <w:szCs w:val="20"/>
          <w:color w:val="auto"/>
        </w:rPr>
      </w:pPr>
      <w:r>
        <w:rPr>
          <w:rFonts w:ascii="Arial" w:cs="Arial" w:eastAsia="Arial" w:hAnsi="Arial"/>
          <w:sz w:val="35"/>
          <w:szCs w:val="35"/>
          <w:color w:val="009A4B"/>
        </w:rPr>
        <w:t>Compensation Discussion and Analysis</w:t>
      </w:r>
    </w:p>
    <w:p>
      <w:pPr>
        <w:spacing w:after="0" w:line="227" w:lineRule="exact"/>
        <w:rPr>
          <w:sz w:val="20"/>
          <w:szCs w:val="20"/>
          <w:color w:val="auto"/>
        </w:rPr>
      </w:pPr>
    </w:p>
    <w:p>
      <w:pPr>
        <w:ind w:right="400"/>
        <w:spacing w:after="0" w:line="254" w:lineRule="auto"/>
        <w:rPr>
          <w:sz w:val="20"/>
          <w:szCs w:val="20"/>
          <w:color w:val="auto"/>
        </w:rPr>
      </w:pPr>
      <w:r>
        <w:rPr>
          <w:rFonts w:ascii="Arial" w:cs="Arial" w:eastAsia="Arial" w:hAnsi="Arial"/>
          <w:sz w:val="16"/>
          <w:szCs w:val="16"/>
          <w:color w:val="auto"/>
        </w:rPr>
        <w:t>The Compensation Discussion and Analysis describes and analyzes our executive officer compensation program with emphasis on compensation actions taken during fiscal 2021. For fiscal 2021, the Company’s named executive officers were:</w:t>
      </w:r>
    </w:p>
    <w:p>
      <w:pPr>
        <w:spacing w:after="0" w:line="123" w:lineRule="exact"/>
        <w:rPr>
          <w:sz w:val="20"/>
          <w:szCs w:val="20"/>
          <w:color w:val="auto"/>
        </w:rPr>
      </w:pPr>
    </w:p>
    <w:p>
      <w:pPr>
        <w:ind w:left="360" w:hanging="180"/>
        <w:spacing w:after="0"/>
        <w:tabs>
          <w:tab w:leader="none" w:pos="360" w:val="left"/>
        </w:tabs>
        <w:numPr>
          <w:ilvl w:val="0"/>
          <w:numId w:val="32"/>
        </w:numPr>
        <w:rPr>
          <w:rFonts w:ascii="Arial" w:cs="Arial" w:eastAsia="Arial" w:hAnsi="Arial"/>
          <w:sz w:val="16"/>
          <w:szCs w:val="16"/>
          <w:color w:val="009A4B"/>
        </w:rPr>
      </w:pPr>
      <w:r>
        <w:rPr>
          <w:rFonts w:ascii="Arial" w:cs="Arial" w:eastAsia="Arial" w:hAnsi="Arial"/>
          <w:sz w:val="16"/>
          <w:szCs w:val="16"/>
          <w:b w:val="1"/>
          <w:bCs w:val="1"/>
          <w:color w:val="009A4B"/>
        </w:rPr>
        <w:t>Seifi Ghasemi</w:t>
      </w:r>
      <w:r>
        <w:rPr>
          <w:rFonts w:ascii="Arial" w:cs="Arial" w:eastAsia="Arial" w:hAnsi="Arial"/>
          <w:sz w:val="16"/>
          <w:szCs w:val="16"/>
          <w:color w:val="000000"/>
        </w:rPr>
        <w:t>, Chairman, President and Chief Executive Officer (“CEO”);</w:t>
      </w:r>
    </w:p>
    <w:p>
      <w:pPr>
        <w:spacing w:after="0" w:line="82" w:lineRule="exact"/>
        <w:rPr>
          <w:rFonts w:ascii="Arial" w:cs="Arial" w:eastAsia="Arial" w:hAnsi="Arial"/>
          <w:sz w:val="16"/>
          <w:szCs w:val="16"/>
          <w:color w:val="009A4B"/>
        </w:rPr>
      </w:pPr>
    </w:p>
    <w:p>
      <w:pPr>
        <w:ind w:left="360" w:hanging="180"/>
        <w:spacing w:after="0"/>
        <w:tabs>
          <w:tab w:leader="none" w:pos="360" w:val="left"/>
        </w:tabs>
        <w:numPr>
          <w:ilvl w:val="0"/>
          <w:numId w:val="32"/>
        </w:numPr>
        <w:rPr>
          <w:rFonts w:ascii="Arial" w:cs="Arial" w:eastAsia="Arial" w:hAnsi="Arial"/>
          <w:sz w:val="16"/>
          <w:szCs w:val="16"/>
          <w:color w:val="009A4B"/>
        </w:rPr>
      </w:pPr>
      <w:r>
        <w:rPr>
          <w:rFonts w:ascii="Arial" w:cs="Arial" w:eastAsia="Arial" w:hAnsi="Arial"/>
          <w:sz w:val="16"/>
          <w:szCs w:val="16"/>
          <w:b w:val="1"/>
          <w:bCs w:val="1"/>
          <w:color w:val="009A4B"/>
        </w:rPr>
        <w:t>Melissa N. Schaeffer</w:t>
      </w:r>
      <w:r>
        <w:rPr>
          <w:rFonts w:ascii="Arial" w:cs="Arial" w:eastAsia="Arial" w:hAnsi="Arial"/>
          <w:sz w:val="16"/>
          <w:szCs w:val="16"/>
          <w:color w:val="000000"/>
        </w:rPr>
        <w:t>, Senior Vice President and Chief Financial Officer (“CFO”);</w:t>
      </w:r>
    </w:p>
    <w:p>
      <w:pPr>
        <w:spacing w:after="0" w:line="82" w:lineRule="exact"/>
        <w:rPr>
          <w:rFonts w:ascii="Arial" w:cs="Arial" w:eastAsia="Arial" w:hAnsi="Arial"/>
          <w:sz w:val="16"/>
          <w:szCs w:val="16"/>
          <w:color w:val="009A4B"/>
        </w:rPr>
      </w:pPr>
    </w:p>
    <w:p>
      <w:pPr>
        <w:ind w:left="360" w:hanging="180"/>
        <w:spacing w:after="0"/>
        <w:tabs>
          <w:tab w:leader="none" w:pos="360" w:val="left"/>
        </w:tabs>
        <w:numPr>
          <w:ilvl w:val="0"/>
          <w:numId w:val="32"/>
        </w:numPr>
        <w:rPr>
          <w:rFonts w:ascii="Arial" w:cs="Arial" w:eastAsia="Arial" w:hAnsi="Arial"/>
          <w:sz w:val="16"/>
          <w:szCs w:val="16"/>
          <w:color w:val="009A4B"/>
        </w:rPr>
      </w:pPr>
      <w:r>
        <w:rPr>
          <w:rFonts w:ascii="Arial" w:cs="Arial" w:eastAsia="Arial" w:hAnsi="Arial"/>
          <w:sz w:val="16"/>
          <w:szCs w:val="16"/>
          <w:b w:val="1"/>
          <w:bCs w:val="1"/>
          <w:color w:val="009A4B"/>
        </w:rPr>
        <w:t>M. Scott Crocco</w:t>
      </w:r>
      <w:r>
        <w:rPr>
          <w:rFonts w:ascii="Arial" w:cs="Arial" w:eastAsia="Arial" w:hAnsi="Arial"/>
          <w:sz w:val="16"/>
          <w:szCs w:val="16"/>
          <w:color w:val="000000"/>
        </w:rPr>
        <w:t>, Former Executive Vice President and Chief Financial Officer;</w:t>
      </w:r>
    </w:p>
    <w:p>
      <w:pPr>
        <w:spacing w:after="0" w:line="82" w:lineRule="exact"/>
        <w:rPr>
          <w:rFonts w:ascii="Arial" w:cs="Arial" w:eastAsia="Arial" w:hAnsi="Arial"/>
          <w:sz w:val="16"/>
          <w:szCs w:val="16"/>
          <w:color w:val="009A4B"/>
        </w:rPr>
      </w:pPr>
    </w:p>
    <w:p>
      <w:pPr>
        <w:ind w:left="360" w:hanging="180"/>
        <w:spacing w:after="0"/>
        <w:tabs>
          <w:tab w:leader="none" w:pos="360" w:val="left"/>
        </w:tabs>
        <w:numPr>
          <w:ilvl w:val="0"/>
          <w:numId w:val="32"/>
        </w:numPr>
        <w:rPr>
          <w:rFonts w:ascii="Arial" w:cs="Arial" w:eastAsia="Arial" w:hAnsi="Arial"/>
          <w:sz w:val="16"/>
          <w:szCs w:val="16"/>
          <w:color w:val="009A4B"/>
        </w:rPr>
      </w:pPr>
      <w:r>
        <w:rPr>
          <w:rFonts w:ascii="Arial" w:cs="Arial" w:eastAsia="Arial" w:hAnsi="Arial"/>
          <w:sz w:val="16"/>
          <w:szCs w:val="16"/>
          <w:b w:val="1"/>
          <w:bCs w:val="1"/>
          <w:color w:val="009A4B"/>
        </w:rPr>
        <w:t>Sean D. Major</w:t>
      </w:r>
      <w:r>
        <w:rPr>
          <w:rFonts w:ascii="Arial" w:cs="Arial" w:eastAsia="Arial" w:hAnsi="Arial"/>
          <w:sz w:val="16"/>
          <w:szCs w:val="16"/>
          <w:color w:val="000000"/>
        </w:rPr>
        <w:t>, Executive Vice President, General Counsel and Secretary; and</w:t>
      </w:r>
    </w:p>
    <w:p>
      <w:pPr>
        <w:spacing w:after="0" w:line="82" w:lineRule="exact"/>
        <w:rPr>
          <w:rFonts w:ascii="Arial" w:cs="Arial" w:eastAsia="Arial" w:hAnsi="Arial"/>
          <w:sz w:val="16"/>
          <w:szCs w:val="16"/>
          <w:color w:val="009A4B"/>
        </w:rPr>
      </w:pPr>
    </w:p>
    <w:p>
      <w:pPr>
        <w:ind w:left="360" w:hanging="180"/>
        <w:spacing w:after="0"/>
        <w:tabs>
          <w:tab w:leader="none" w:pos="360" w:val="left"/>
        </w:tabs>
        <w:numPr>
          <w:ilvl w:val="0"/>
          <w:numId w:val="32"/>
        </w:numPr>
        <w:rPr>
          <w:rFonts w:ascii="Arial" w:cs="Arial" w:eastAsia="Arial" w:hAnsi="Arial"/>
          <w:sz w:val="16"/>
          <w:szCs w:val="16"/>
          <w:color w:val="009A4B"/>
        </w:rPr>
      </w:pPr>
      <w:r>
        <w:rPr>
          <w:rFonts w:ascii="Arial" w:cs="Arial" w:eastAsia="Arial" w:hAnsi="Arial"/>
          <w:sz w:val="16"/>
          <w:szCs w:val="16"/>
          <w:b w:val="1"/>
          <w:bCs w:val="1"/>
          <w:color w:val="009A4B"/>
        </w:rPr>
        <w:t>Dr. Samir J. Serhan</w:t>
      </w:r>
      <w:r>
        <w:rPr>
          <w:rFonts w:ascii="Arial" w:cs="Arial" w:eastAsia="Arial" w:hAnsi="Arial"/>
          <w:sz w:val="16"/>
          <w:szCs w:val="16"/>
          <w:color w:val="000000"/>
        </w:rPr>
        <w:t>, Chief Operating Officer.</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Discussion and Analysis is organized into six sections: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520" w:type="dxa"/>
            <w:vAlign w:val="bottom"/>
          </w:tcPr>
          <w:p>
            <w:pPr>
              <w:spacing w:after="0"/>
              <w:rPr>
                <w:sz w:val="20"/>
                <w:szCs w:val="20"/>
                <w:color w:val="auto"/>
              </w:rPr>
            </w:pPr>
            <w:r>
              <w:rPr>
                <w:rFonts w:ascii="Arial" w:cs="Arial" w:eastAsia="Arial" w:hAnsi="Arial"/>
                <w:sz w:val="16"/>
                <w:szCs w:val="16"/>
                <w:b w:val="1"/>
                <w:bCs w:val="1"/>
                <w:color w:val="009A4B"/>
              </w:rPr>
              <w:t>SECTION</w:t>
            </w:r>
          </w:p>
        </w:tc>
        <w:tc>
          <w:tcPr>
            <w:tcW w:w="6460" w:type="dxa"/>
            <w:vAlign w:val="bottom"/>
          </w:tcPr>
          <w:p>
            <w:pPr>
              <w:spacing w:after="0"/>
              <w:rPr>
                <w:sz w:val="18"/>
                <w:szCs w:val="18"/>
                <w:color w:val="auto"/>
              </w:rPr>
            </w:pPr>
          </w:p>
        </w:tc>
        <w:tc>
          <w:tcPr>
            <w:tcW w:w="3280" w:type="dxa"/>
            <w:vAlign w:val="bottom"/>
          </w:tcPr>
          <w:p>
            <w:pPr>
              <w:jc w:val="center"/>
              <w:ind w:left="1480"/>
              <w:spacing w:after="0"/>
              <w:rPr>
                <w:sz w:val="20"/>
                <w:szCs w:val="20"/>
                <w:color w:val="auto"/>
              </w:rPr>
            </w:pPr>
            <w:r>
              <w:rPr>
                <w:rFonts w:ascii="Arial" w:cs="Arial" w:eastAsia="Arial" w:hAnsi="Arial"/>
                <w:sz w:val="16"/>
                <w:szCs w:val="16"/>
                <w:b w:val="1"/>
                <w:bCs w:val="1"/>
                <w:color w:val="009A4B"/>
              </w:rPr>
              <w:t>Page Number</w:t>
            </w:r>
          </w:p>
        </w:tc>
      </w:tr>
      <w:tr>
        <w:trPr>
          <w:trHeight w:val="453"/>
        </w:trPr>
        <w:tc>
          <w:tcPr>
            <w:tcW w:w="7980" w:type="dxa"/>
            <w:vAlign w:val="bottom"/>
            <w:gridSpan w:val="2"/>
          </w:tcPr>
          <w:p>
            <w:pPr>
              <w:ind w:left="680"/>
              <w:spacing w:after="0"/>
              <w:rPr>
                <w:rFonts w:ascii="Arial" w:cs="Arial" w:eastAsia="Arial" w:hAnsi="Arial"/>
                <w:sz w:val="16"/>
                <w:szCs w:val="16"/>
                <w:color w:val="auto"/>
              </w:rPr>
            </w:pPr>
            <w:hyperlink w:anchor="page32">
              <w:r>
                <w:rPr>
                  <w:rFonts w:ascii="Arial" w:cs="Arial" w:eastAsia="Arial" w:hAnsi="Arial"/>
                  <w:sz w:val="16"/>
                  <w:szCs w:val="16"/>
                  <w:color w:val="auto"/>
                </w:rPr>
                <w:t>Highlights of Fiscal 2021 Company Performance and Compensation Actions</w:t>
              </w:r>
            </w:hyperlink>
          </w:p>
        </w:tc>
        <w:tc>
          <w:tcPr>
            <w:tcW w:w="3280" w:type="dxa"/>
            <w:vAlign w:val="bottom"/>
          </w:tcPr>
          <w:p>
            <w:pPr>
              <w:jc w:val="center"/>
              <w:ind w:left="1500"/>
              <w:spacing w:after="0"/>
              <w:rPr>
                <w:rFonts w:ascii="Arial" w:cs="Arial" w:eastAsia="Arial" w:hAnsi="Arial"/>
                <w:sz w:val="16"/>
                <w:szCs w:val="16"/>
                <w:color w:val="auto"/>
              </w:rPr>
            </w:pPr>
            <w:hyperlink w:anchor="page32">
              <w:r>
                <w:rPr>
                  <w:rFonts w:ascii="Arial" w:cs="Arial" w:eastAsia="Arial" w:hAnsi="Arial"/>
                  <w:sz w:val="16"/>
                  <w:szCs w:val="16"/>
                  <w:color w:val="auto"/>
                </w:rPr>
                <w:t>29</w:t>
              </w:r>
            </w:hyperlink>
          </w:p>
        </w:tc>
      </w:tr>
      <w:tr>
        <w:trPr>
          <w:trHeight w:val="466"/>
        </w:trPr>
        <w:tc>
          <w:tcPr>
            <w:tcW w:w="1520" w:type="dxa"/>
            <w:vAlign w:val="bottom"/>
          </w:tcPr>
          <w:p>
            <w:pPr>
              <w:ind w:left="680"/>
              <w:spacing w:after="0"/>
              <w:rPr>
                <w:rFonts w:ascii="Arial" w:cs="Arial" w:eastAsia="Arial" w:hAnsi="Arial"/>
                <w:sz w:val="16"/>
                <w:szCs w:val="16"/>
                <w:color w:val="auto"/>
              </w:rPr>
            </w:pPr>
            <w:hyperlink w:anchor="page37">
              <w:r>
                <w:rPr>
                  <w:rFonts w:ascii="Arial" w:cs="Arial" w:eastAsia="Arial" w:hAnsi="Arial"/>
                  <w:sz w:val="16"/>
                  <w:szCs w:val="16"/>
                  <w:color w:val="auto"/>
                </w:rPr>
                <w:t>Fiscal 2021</w:t>
              </w:r>
            </w:hyperlink>
          </w:p>
        </w:tc>
        <w:tc>
          <w:tcPr>
            <w:tcW w:w="6460" w:type="dxa"/>
            <w:vAlign w:val="bottom"/>
          </w:tcPr>
          <w:p>
            <w:pPr>
              <w:ind w:left="20"/>
              <w:spacing w:after="0"/>
              <w:rPr>
                <w:rFonts w:ascii="Arial" w:cs="Arial" w:eastAsia="Arial" w:hAnsi="Arial"/>
                <w:sz w:val="16"/>
                <w:szCs w:val="16"/>
                <w:color w:val="auto"/>
              </w:rPr>
            </w:pPr>
            <w:hyperlink w:anchor="page37">
              <w:r>
                <w:rPr>
                  <w:rFonts w:ascii="Arial" w:cs="Arial" w:eastAsia="Arial" w:hAnsi="Arial"/>
                  <w:sz w:val="16"/>
                  <w:szCs w:val="16"/>
                  <w:color w:val="auto"/>
                </w:rPr>
                <w:t>Executive Officer Compensation Program Overview</w:t>
              </w:r>
            </w:hyperlink>
          </w:p>
        </w:tc>
        <w:tc>
          <w:tcPr>
            <w:tcW w:w="3280" w:type="dxa"/>
            <w:vAlign w:val="bottom"/>
          </w:tcPr>
          <w:p>
            <w:pPr>
              <w:jc w:val="center"/>
              <w:ind w:left="1500"/>
              <w:spacing w:after="0"/>
              <w:rPr>
                <w:rFonts w:ascii="Arial" w:cs="Arial" w:eastAsia="Arial" w:hAnsi="Arial"/>
                <w:sz w:val="16"/>
                <w:szCs w:val="16"/>
                <w:color w:val="auto"/>
              </w:rPr>
            </w:pPr>
            <w:hyperlink w:anchor="page37">
              <w:r>
                <w:rPr>
                  <w:rFonts w:ascii="Arial" w:cs="Arial" w:eastAsia="Arial" w:hAnsi="Arial"/>
                  <w:sz w:val="16"/>
                  <w:szCs w:val="16"/>
                  <w:color w:val="auto"/>
                </w:rPr>
                <w:t>34</w:t>
              </w:r>
            </w:hyperlink>
          </w:p>
        </w:tc>
      </w:tr>
      <w:tr>
        <w:trPr>
          <w:trHeight w:val="453"/>
        </w:trPr>
        <w:tc>
          <w:tcPr>
            <w:tcW w:w="1520" w:type="dxa"/>
            <w:vAlign w:val="bottom"/>
          </w:tcPr>
          <w:p>
            <w:pPr>
              <w:ind w:left="680"/>
              <w:spacing w:after="0"/>
              <w:rPr>
                <w:rFonts w:ascii="Arial" w:cs="Arial" w:eastAsia="Arial" w:hAnsi="Arial"/>
                <w:sz w:val="16"/>
                <w:szCs w:val="16"/>
                <w:color w:val="auto"/>
              </w:rPr>
            </w:pPr>
            <w:hyperlink w:anchor="page39">
              <w:r>
                <w:rPr>
                  <w:rFonts w:ascii="Arial" w:cs="Arial" w:eastAsia="Arial" w:hAnsi="Arial"/>
                  <w:sz w:val="16"/>
                  <w:szCs w:val="16"/>
                  <w:color w:val="auto"/>
                </w:rPr>
                <w:t>Fiscal 2021</w:t>
              </w:r>
            </w:hyperlink>
          </w:p>
        </w:tc>
        <w:tc>
          <w:tcPr>
            <w:tcW w:w="6460" w:type="dxa"/>
            <w:vAlign w:val="bottom"/>
          </w:tcPr>
          <w:p>
            <w:pPr>
              <w:ind w:left="20"/>
              <w:spacing w:after="0"/>
              <w:rPr>
                <w:rFonts w:ascii="Arial" w:cs="Arial" w:eastAsia="Arial" w:hAnsi="Arial"/>
                <w:sz w:val="16"/>
                <w:szCs w:val="16"/>
                <w:color w:val="auto"/>
              </w:rPr>
            </w:pPr>
            <w:hyperlink w:anchor="page39">
              <w:r>
                <w:rPr>
                  <w:rFonts w:ascii="Arial" w:cs="Arial" w:eastAsia="Arial" w:hAnsi="Arial"/>
                  <w:sz w:val="16"/>
                  <w:szCs w:val="16"/>
                  <w:color w:val="auto"/>
                </w:rPr>
                <w:t>Total Direct Compensation Components</w:t>
              </w:r>
            </w:hyperlink>
          </w:p>
        </w:tc>
        <w:tc>
          <w:tcPr>
            <w:tcW w:w="3280" w:type="dxa"/>
            <w:vAlign w:val="bottom"/>
          </w:tcPr>
          <w:p>
            <w:pPr>
              <w:jc w:val="center"/>
              <w:ind w:left="1500"/>
              <w:spacing w:after="0"/>
              <w:rPr>
                <w:rFonts w:ascii="Arial" w:cs="Arial" w:eastAsia="Arial" w:hAnsi="Arial"/>
                <w:sz w:val="16"/>
                <w:szCs w:val="16"/>
                <w:color w:val="auto"/>
              </w:rPr>
            </w:pPr>
            <w:hyperlink w:anchor="page39">
              <w:r>
                <w:rPr>
                  <w:rFonts w:ascii="Arial" w:cs="Arial" w:eastAsia="Arial" w:hAnsi="Arial"/>
                  <w:sz w:val="16"/>
                  <w:szCs w:val="16"/>
                  <w:color w:val="auto"/>
                </w:rPr>
                <w:t>36</w:t>
              </w:r>
            </w:hyperlink>
          </w:p>
        </w:tc>
      </w:tr>
      <w:tr>
        <w:trPr>
          <w:trHeight w:val="453"/>
        </w:trPr>
        <w:tc>
          <w:tcPr>
            <w:tcW w:w="7980" w:type="dxa"/>
            <w:vAlign w:val="bottom"/>
            <w:gridSpan w:val="2"/>
          </w:tcPr>
          <w:p>
            <w:pPr>
              <w:ind w:left="680"/>
              <w:spacing w:after="0"/>
              <w:rPr>
                <w:rFonts w:ascii="Arial" w:cs="Arial" w:eastAsia="Arial" w:hAnsi="Arial"/>
                <w:sz w:val="16"/>
                <w:szCs w:val="16"/>
                <w:color w:val="auto"/>
              </w:rPr>
            </w:pPr>
            <w:hyperlink w:anchor="page44">
              <w:r>
                <w:rPr>
                  <w:rFonts w:ascii="Arial" w:cs="Arial" w:eastAsia="Arial" w:hAnsi="Arial"/>
                  <w:sz w:val="16"/>
                  <w:szCs w:val="16"/>
                  <w:color w:val="auto"/>
                </w:rPr>
                <w:t>Employee Benefit Plans and Other Compensation</w:t>
              </w:r>
            </w:hyperlink>
          </w:p>
        </w:tc>
        <w:tc>
          <w:tcPr>
            <w:tcW w:w="3280" w:type="dxa"/>
            <w:vAlign w:val="bottom"/>
          </w:tcPr>
          <w:p>
            <w:pPr>
              <w:jc w:val="center"/>
              <w:ind w:left="1500"/>
              <w:spacing w:after="0"/>
              <w:rPr>
                <w:rFonts w:ascii="Arial" w:cs="Arial" w:eastAsia="Arial" w:hAnsi="Arial"/>
                <w:sz w:val="16"/>
                <w:szCs w:val="16"/>
                <w:color w:val="auto"/>
              </w:rPr>
            </w:pPr>
            <w:hyperlink w:anchor="page44">
              <w:r>
                <w:rPr>
                  <w:rFonts w:ascii="Arial" w:cs="Arial" w:eastAsia="Arial" w:hAnsi="Arial"/>
                  <w:sz w:val="16"/>
                  <w:szCs w:val="16"/>
                  <w:color w:val="auto"/>
                </w:rPr>
                <w:t>41</w:t>
              </w:r>
            </w:hyperlink>
          </w:p>
        </w:tc>
      </w:tr>
      <w:tr>
        <w:trPr>
          <w:trHeight w:val="466"/>
        </w:trPr>
        <w:tc>
          <w:tcPr>
            <w:tcW w:w="7980" w:type="dxa"/>
            <w:vAlign w:val="bottom"/>
            <w:gridSpan w:val="2"/>
          </w:tcPr>
          <w:p>
            <w:pPr>
              <w:ind w:left="680"/>
              <w:spacing w:after="0"/>
              <w:rPr>
                <w:rFonts w:ascii="Arial" w:cs="Arial" w:eastAsia="Arial" w:hAnsi="Arial"/>
                <w:sz w:val="16"/>
                <w:szCs w:val="16"/>
                <w:color w:val="auto"/>
              </w:rPr>
            </w:pPr>
            <w:hyperlink w:anchor="page45">
              <w:r>
                <w:rPr>
                  <w:rFonts w:ascii="Arial" w:cs="Arial" w:eastAsia="Arial" w:hAnsi="Arial"/>
                  <w:sz w:val="16"/>
                  <w:szCs w:val="16"/>
                  <w:color w:val="auto"/>
                </w:rPr>
                <w:t>Executive Compensation Decision-Making Process</w:t>
              </w:r>
            </w:hyperlink>
          </w:p>
        </w:tc>
        <w:tc>
          <w:tcPr>
            <w:tcW w:w="3280" w:type="dxa"/>
            <w:vAlign w:val="bottom"/>
          </w:tcPr>
          <w:p>
            <w:pPr>
              <w:jc w:val="center"/>
              <w:ind w:left="1500"/>
              <w:spacing w:after="0"/>
              <w:rPr>
                <w:rFonts w:ascii="Arial" w:cs="Arial" w:eastAsia="Arial" w:hAnsi="Arial"/>
                <w:sz w:val="16"/>
                <w:szCs w:val="16"/>
                <w:color w:val="auto"/>
              </w:rPr>
            </w:pPr>
            <w:hyperlink w:anchor="page45">
              <w:r>
                <w:rPr>
                  <w:rFonts w:ascii="Arial" w:cs="Arial" w:eastAsia="Arial" w:hAnsi="Arial"/>
                  <w:sz w:val="16"/>
                  <w:szCs w:val="16"/>
                  <w:color w:val="auto"/>
                </w:rPr>
                <w:t>42</w:t>
              </w:r>
            </w:hyperlink>
          </w:p>
        </w:tc>
      </w:tr>
      <w:tr>
        <w:trPr>
          <w:trHeight w:val="453"/>
        </w:trPr>
        <w:tc>
          <w:tcPr>
            <w:tcW w:w="7980" w:type="dxa"/>
            <w:vAlign w:val="bottom"/>
            <w:gridSpan w:val="2"/>
          </w:tcPr>
          <w:p>
            <w:pPr>
              <w:ind w:left="680"/>
              <w:spacing w:after="0"/>
              <w:rPr>
                <w:rFonts w:ascii="Arial" w:cs="Arial" w:eastAsia="Arial" w:hAnsi="Arial"/>
                <w:sz w:val="16"/>
                <w:szCs w:val="16"/>
                <w:color w:val="auto"/>
              </w:rPr>
            </w:pPr>
            <w:hyperlink w:anchor="page49">
              <w:r>
                <w:rPr>
                  <w:rFonts w:ascii="Arial" w:cs="Arial" w:eastAsia="Arial" w:hAnsi="Arial"/>
                  <w:sz w:val="16"/>
                  <w:szCs w:val="16"/>
                  <w:color w:val="auto"/>
                </w:rPr>
                <w:t>Key Compensation Practices and Policies</w:t>
              </w:r>
            </w:hyperlink>
          </w:p>
        </w:tc>
        <w:tc>
          <w:tcPr>
            <w:tcW w:w="3280" w:type="dxa"/>
            <w:vAlign w:val="bottom"/>
          </w:tcPr>
          <w:p>
            <w:pPr>
              <w:jc w:val="center"/>
              <w:ind w:left="1500"/>
              <w:spacing w:after="0"/>
              <w:rPr>
                <w:rFonts w:ascii="Arial" w:cs="Arial" w:eastAsia="Arial" w:hAnsi="Arial"/>
                <w:sz w:val="16"/>
                <w:szCs w:val="16"/>
                <w:color w:val="auto"/>
              </w:rPr>
            </w:pPr>
            <w:hyperlink w:anchor="page49">
              <w:r>
                <w:rPr>
                  <w:rFonts w:ascii="Arial" w:cs="Arial" w:eastAsia="Arial" w:hAnsi="Arial"/>
                  <w:sz w:val="16"/>
                  <w:szCs w:val="16"/>
                  <w:color w:val="auto"/>
                </w:rPr>
                <w:t>46</w:t>
              </w:r>
            </w:hyperlink>
          </w:p>
        </w:tc>
      </w:tr>
      <w:tr>
        <w:trPr>
          <w:trHeight w:val="620"/>
        </w:trPr>
        <w:tc>
          <w:tcPr>
            <w:tcW w:w="1520" w:type="dxa"/>
            <w:vAlign w:val="bottom"/>
          </w:tcPr>
          <w:p>
            <w:pPr>
              <w:spacing w:after="0"/>
              <w:rPr>
                <w:sz w:val="20"/>
                <w:szCs w:val="20"/>
                <w:color w:val="auto"/>
              </w:rPr>
            </w:pPr>
            <w:r>
              <w:rPr>
                <w:rFonts w:ascii="Arial" w:cs="Arial" w:eastAsia="Arial" w:hAnsi="Arial"/>
                <w:sz w:val="14"/>
                <w:szCs w:val="14"/>
                <w:b w:val="1"/>
                <w:bCs w:val="1"/>
                <w:color w:val="auto"/>
              </w:rPr>
              <w:t>28</w:t>
            </w:r>
          </w:p>
        </w:tc>
        <w:tc>
          <w:tcPr>
            <w:tcW w:w="646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34"/>
        </w:trPr>
        <w:tc>
          <w:tcPr>
            <w:tcW w:w="1520" w:type="dxa"/>
            <w:vAlign w:val="bottom"/>
            <w:tcBorders>
              <w:bottom w:val="single" w:sz="8" w:color="808080"/>
            </w:tcBorders>
          </w:tcPr>
          <w:p>
            <w:pPr>
              <w:spacing w:after="0"/>
              <w:rPr>
                <w:sz w:val="20"/>
                <w:szCs w:val="20"/>
                <w:color w:val="auto"/>
              </w:rPr>
            </w:pPr>
          </w:p>
        </w:tc>
        <w:tc>
          <w:tcPr>
            <w:tcW w:w="6460" w:type="dxa"/>
            <w:vAlign w:val="bottom"/>
            <w:tcBorders>
              <w:bottom w:val="single" w:sz="8" w:color="808080"/>
            </w:tcBorders>
          </w:tcPr>
          <w:p>
            <w:pPr>
              <w:spacing w:after="0"/>
              <w:rPr>
                <w:sz w:val="20"/>
                <w:szCs w:val="20"/>
                <w:color w:val="auto"/>
              </w:rPr>
            </w:pPr>
          </w:p>
        </w:tc>
        <w:tc>
          <w:tcPr>
            <w:tcW w:w="3280" w:type="dxa"/>
            <w:vAlign w:val="bottom"/>
            <w:tcBorders>
              <w:bottom w:val="single" w:sz="8" w:color="80808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-13970</wp:posOffset>
            </wp:positionV>
            <wp:extent cx="1270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-2173605</wp:posOffset>
            </wp:positionV>
            <wp:extent cx="202565" cy="20256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02565" cy="20256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-1878330</wp:posOffset>
            </wp:positionV>
            <wp:extent cx="202565" cy="20256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02565" cy="20256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-1582420</wp:posOffset>
            </wp:positionV>
            <wp:extent cx="202565" cy="19431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02565" cy="194310"/>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-1007110</wp:posOffset>
            </wp:positionV>
            <wp:extent cx="202565" cy="20256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02565" cy="20256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-711835</wp:posOffset>
            </wp:positionV>
            <wp:extent cx="202565" cy="19431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02565" cy="194310"/>
                    </a:xfrm>
                    <a:prstGeom prst="rect">
                      <a:avLst/>
                    </a:prstGeom>
                    <a:noFill/>
                  </pic:spPr>
                </pic:pic>
              </a:graphicData>
            </a:graphic>
          </wp:anchor>
        </w:drawing>
        <w:drawing>
          <wp:anchor simplePos="0" relativeHeight="251657728" behindDoc="1" locked="0" layoutInCell="0" allowOverlap="1">
            <wp:simplePos x="0" y="0"/>
            <wp:positionH relativeFrom="column">
              <wp:posOffset>232410</wp:posOffset>
            </wp:positionH>
            <wp:positionV relativeFrom="paragraph">
              <wp:posOffset>-306070</wp:posOffset>
            </wp:positionV>
            <wp:extent cx="845185" cy="20256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45185" cy="20256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sz w:val="1"/>
          <w:szCs w:val="1"/>
          <w:color w:val="auto"/>
        </w:rPr>
        <w:drawing>
          <wp:inline distT="0" distB="0" distL="0" distR="0">
            <wp:extent cx="295910" cy="295910"/>
            <wp:effectExtent l="0" t="0" r="0" b="0"/>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95910" cy="295910"/>
                    </a:xfrm>
                    <a:prstGeom prst="rect">
                      <a:avLst/>
                    </a:prstGeom>
                    <a:noFill/>
                    <a:ln>
                      <a:noFill/>
                    </a:ln>
                  </pic:spPr>
                </pic:pic>
              </a:graphicData>
            </a:graphic>
          </wp:inline>
        </w:drawing>
      </w:r>
      <w:r>
        <w:rPr>
          <w:rFonts w:ascii="Arial" w:cs="Arial" w:eastAsia="Arial" w:hAnsi="Arial"/>
          <w:sz w:val="28"/>
          <w:szCs w:val="28"/>
          <w:color w:val="009A4B"/>
        </w:rPr>
        <w:t xml:space="preserve"> Highlights of Fiscal 2021 Company Performance and Compensation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-7620</wp:posOffset>
            </wp:positionV>
            <wp:extent cx="674560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745605" cy="825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color w:val="009A4B"/>
        </w:rPr>
        <w:t>Fiscal 2021 Performance and Strategic Highlights</w:t>
      </w: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color w:val="auto"/>
        </w:rPr>
        <w:t>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163195</wp:posOffset>
            </wp:positionV>
            <wp:extent cx="5975985" cy="176657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975985"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20" w:hanging="214"/>
        <w:spacing w:after="0"/>
        <w:tabs>
          <w:tab w:leader="none" w:pos="220" w:val="left"/>
        </w:tabs>
        <w:numPr>
          <w:ilvl w:val="0"/>
          <w:numId w:val="33"/>
        </w:numPr>
        <w:rPr>
          <w:rFonts w:ascii="Arial" w:cs="Arial" w:eastAsia="Arial" w:hAnsi="Arial"/>
          <w:sz w:val="24"/>
          <w:szCs w:val="24"/>
          <w:color w:val="auto"/>
          <w:vertAlign w:val="superscript"/>
        </w:rPr>
      </w:pPr>
      <w:r>
        <w:rPr>
          <w:rFonts w:ascii="Arial" w:cs="Arial" w:eastAsia="Arial" w:hAnsi="Arial"/>
          <w:sz w:val="14"/>
          <w:szCs w:val="14"/>
          <w:color w:val="auto"/>
        </w:rPr>
        <w:t>This is a non-GAAP financial measure. See Appendix A for a reconciliation to the most directly comparable financial measure calculated under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wp:posOffset>
            </wp:positionV>
            <wp:extent cx="713422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2058035</wp:posOffset>
            </wp:positionH>
            <wp:positionV relativeFrom="paragraph">
              <wp:posOffset>142240</wp:posOffset>
            </wp:positionV>
            <wp:extent cx="380365" cy="35496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80365" cy="354965"/>
                    </a:xfrm>
                    <a:prstGeom prst="rect">
                      <a:avLst/>
                    </a:prstGeom>
                    <a:noFill/>
                  </pic:spPr>
                </pic:pic>
              </a:graphicData>
            </a:graphic>
          </wp:anchor>
        </w:drawing>
        <w:drawing>
          <wp:anchor simplePos="0" relativeHeight="251657728" behindDoc="1" locked="0" layoutInCell="0" allowOverlap="1">
            <wp:simplePos x="0" y="0"/>
            <wp:positionH relativeFrom="column">
              <wp:posOffset>5168900</wp:posOffset>
            </wp:positionH>
            <wp:positionV relativeFrom="paragraph">
              <wp:posOffset>133985</wp:posOffset>
            </wp:positionV>
            <wp:extent cx="397510" cy="38036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97510" cy="380365"/>
                    </a:xfrm>
                    <a:prstGeom prst="rect">
                      <a:avLst/>
                    </a:prstGeom>
                    <a:noFill/>
                  </pic:spPr>
                </pic:pic>
              </a:graphicData>
            </a:graphic>
          </wp:anchor>
        </w:drawing>
      </w:r>
    </w:p>
    <w:p>
      <w:pPr>
        <w:spacing w:after="0" w:line="279" w:lineRule="exact"/>
        <w:rPr>
          <w:sz w:val="20"/>
          <w:szCs w:val="20"/>
          <w:color w:val="auto"/>
        </w:rPr>
      </w:pPr>
    </w:p>
    <w:tbl>
      <w:tblPr>
        <w:tblLayout w:type="fixed"/>
        <w:tblInd w:w="740" w:type="dxa"/>
        <w:tblCellMar>
          <w:top w:w="0" w:type="dxa"/>
          <w:left w:w="0" w:type="dxa"/>
          <w:bottom w:w="0" w:type="dxa"/>
          <w:right w:w="0" w:type="dxa"/>
        </w:tblCellMar>
      </w:tblPr>
      <w:tr>
        <w:trPr>
          <w:trHeight w:val="186"/>
        </w:trPr>
        <w:tc>
          <w:tcPr>
            <w:tcW w:w="2120" w:type="dxa"/>
            <w:vAlign w:val="bottom"/>
          </w:tcPr>
          <w:p>
            <w:pPr>
              <w:spacing w:after="0"/>
              <w:rPr>
                <w:sz w:val="20"/>
                <w:szCs w:val="20"/>
                <w:color w:val="auto"/>
              </w:rPr>
            </w:pPr>
            <w:r>
              <w:rPr>
                <w:rFonts w:ascii="Arial" w:cs="Arial" w:eastAsia="Arial" w:hAnsi="Arial"/>
                <w:sz w:val="16"/>
                <w:szCs w:val="16"/>
                <w:b w:val="1"/>
                <w:bCs w:val="1"/>
                <w:color w:val="009A4B"/>
              </w:rPr>
              <w:t>Safety</w:t>
            </w:r>
          </w:p>
        </w:tc>
        <w:tc>
          <w:tcPr>
            <w:tcW w:w="4580" w:type="dxa"/>
            <w:vAlign w:val="bottom"/>
            <w:vMerge w:val="restart"/>
          </w:tcPr>
          <w:p>
            <w:pPr>
              <w:ind w:left="1160"/>
              <w:spacing w:after="0"/>
              <w:rPr>
                <w:sz w:val="20"/>
                <w:szCs w:val="20"/>
                <w:color w:val="auto"/>
              </w:rPr>
            </w:pPr>
            <w:r>
              <w:rPr>
                <w:rFonts w:ascii="Arial" w:cs="Arial" w:eastAsia="Arial" w:hAnsi="Arial"/>
                <w:sz w:val="16"/>
                <w:szCs w:val="16"/>
                <w:b w:val="1"/>
                <w:bCs w:val="1"/>
                <w:color w:val="009A4B"/>
              </w:rPr>
              <w:t>Operational Performance</w:t>
            </w:r>
          </w:p>
        </w:tc>
        <w:tc>
          <w:tcPr>
            <w:tcW w:w="2520" w:type="dxa"/>
            <w:vAlign w:val="bottom"/>
          </w:tcPr>
          <w:p>
            <w:pPr>
              <w:ind w:left="1500"/>
              <w:spacing w:after="0"/>
              <w:rPr>
                <w:sz w:val="20"/>
                <w:szCs w:val="20"/>
                <w:color w:val="auto"/>
              </w:rPr>
            </w:pPr>
            <w:r>
              <w:rPr>
                <w:rFonts w:ascii="Arial" w:cs="Arial" w:eastAsia="Arial" w:hAnsi="Arial"/>
                <w:sz w:val="16"/>
                <w:szCs w:val="16"/>
                <w:b w:val="1"/>
                <w:bCs w:val="1"/>
                <w:color w:val="009A4B"/>
              </w:rPr>
              <w:t>Returns to</w:t>
            </w:r>
          </w:p>
        </w:tc>
        <w:tc>
          <w:tcPr>
            <w:tcW w:w="0" w:type="dxa"/>
            <w:vAlign w:val="bottom"/>
          </w:tcPr>
          <w:p>
            <w:pPr>
              <w:spacing w:after="0"/>
              <w:rPr>
                <w:sz w:val="1"/>
                <w:szCs w:val="1"/>
                <w:color w:val="auto"/>
              </w:rPr>
            </w:pPr>
          </w:p>
        </w:tc>
      </w:tr>
      <w:tr>
        <w:trPr>
          <w:trHeight w:val="119"/>
        </w:trPr>
        <w:tc>
          <w:tcPr>
            <w:tcW w:w="2120" w:type="dxa"/>
            <w:vAlign w:val="bottom"/>
            <w:vMerge w:val="restart"/>
          </w:tcPr>
          <w:p>
            <w:pPr>
              <w:spacing w:after="0"/>
              <w:rPr>
                <w:sz w:val="20"/>
                <w:szCs w:val="20"/>
                <w:color w:val="auto"/>
              </w:rPr>
            </w:pPr>
            <w:r>
              <w:rPr>
                <w:rFonts w:ascii="Arial" w:cs="Arial" w:eastAsia="Arial" w:hAnsi="Arial"/>
                <w:sz w:val="16"/>
                <w:szCs w:val="16"/>
                <w:b w:val="1"/>
                <w:bCs w:val="1"/>
                <w:color w:val="009A4B"/>
              </w:rPr>
              <w:t>Performance</w:t>
            </w:r>
          </w:p>
        </w:tc>
        <w:tc>
          <w:tcPr>
            <w:tcW w:w="4580" w:type="dxa"/>
            <w:vAlign w:val="bottom"/>
            <w:vMerge w:val="continue"/>
          </w:tcPr>
          <w:p>
            <w:pPr>
              <w:spacing w:after="0"/>
              <w:rPr>
                <w:sz w:val="10"/>
                <w:szCs w:val="10"/>
                <w:color w:val="auto"/>
              </w:rPr>
            </w:pPr>
          </w:p>
        </w:tc>
        <w:tc>
          <w:tcPr>
            <w:tcW w:w="2520" w:type="dxa"/>
            <w:vAlign w:val="bottom"/>
            <w:vMerge w:val="restart"/>
          </w:tcPr>
          <w:p>
            <w:pPr>
              <w:ind w:left="1500"/>
              <w:spacing w:after="0"/>
              <w:rPr>
                <w:sz w:val="20"/>
                <w:szCs w:val="20"/>
                <w:color w:val="auto"/>
              </w:rPr>
            </w:pPr>
            <w:r>
              <w:rPr>
                <w:rFonts w:ascii="Arial" w:cs="Arial" w:eastAsia="Arial" w:hAnsi="Arial"/>
                <w:sz w:val="16"/>
                <w:szCs w:val="16"/>
                <w:b w:val="1"/>
                <w:bCs w:val="1"/>
                <w:color w:val="009A4B"/>
                <w:w w:val="97"/>
              </w:rPr>
              <w:t>Shareholders</w:t>
            </w:r>
          </w:p>
        </w:tc>
        <w:tc>
          <w:tcPr>
            <w:tcW w:w="0" w:type="dxa"/>
            <w:vAlign w:val="bottom"/>
          </w:tcPr>
          <w:p>
            <w:pPr>
              <w:spacing w:after="0"/>
              <w:rPr>
                <w:sz w:val="1"/>
                <w:szCs w:val="1"/>
                <w:color w:val="auto"/>
              </w:rPr>
            </w:pPr>
          </w:p>
        </w:tc>
      </w:tr>
      <w:tr>
        <w:trPr>
          <w:trHeight w:val="93"/>
        </w:trPr>
        <w:tc>
          <w:tcPr>
            <w:tcW w:w="2120" w:type="dxa"/>
            <w:vAlign w:val="bottom"/>
            <w:vMerge w:val="continue"/>
          </w:tcPr>
          <w:p>
            <w:pPr>
              <w:spacing w:after="0"/>
              <w:rPr>
                <w:sz w:val="8"/>
                <w:szCs w:val="8"/>
                <w:color w:val="auto"/>
              </w:rPr>
            </w:pPr>
          </w:p>
        </w:tc>
        <w:tc>
          <w:tcPr>
            <w:tcW w:w="4580" w:type="dxa"/>
            <w:vAlign w:val="bottom"/>
          </w:tcPr>
          <w:p>
            <w:pPr>
              <w:spacing w:after="0"/>
              <w:rPr>
                <w:sz w:val="8"/>
                <w:szCs w:val="8"/>
                <w:color w:val="auto"/>
              </w:rPr>
            </w:pPr>
          </w:p>
        </w:tc>
        <w:tc>
          <w:tcPr>
            <w:tcW w:w="2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-215900</wp:posOffset>
            </wp:positionV>
            <wp:extent cx="354965" cy="19431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54965" cy="1943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300"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Our safety performance is critical to our success, and one of our goals is to be the safest industrial gas company in the world. Our safety record improved in fiscal 2021, and we have achieved a 75% improvement in the employee lost time injury rate and a 33% improvement in the employee recordable injury rate since fiscal 2014.</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During 2021, the Company continued to execute its growth strategy, including a major gasification project in Saudi Arabia, and signed agreements to produce net-zero hydrogen in Edmonton, Alberta, Canada and a blue hydrogen complex in Louisiana, U.S.A. Coupled with our NEOM project announced in 2020 to produce carbon-free hydrogen to power buses and trucks around the world, these multi-billion dollar clean hydrogen projects demonstrate our commitment to the production of no-and low-carbon hydrogen to advance the global energy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-2052955</wp:posOffset>
            </wp:positionH>
            <wp:positionV relativeFrom="paragraph">
              <wp:posOffset>88900</wp:posOffset>
            </wp:positionV>
            <wp:extent cx="7134225" cy="52387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34225" cy="523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ind w:right="60"/>
        <w:spacing w:after="0" w:line="257" w:lineRule="auto"/>
        <w:rPr>
          <w:sz w:val="20"/>
          <w:szCs w:val="20"/>
          <w:color w:val="auto"/>
        </w:rPr>
      </w:pPr>
      <w:r>
        <w:rPr>
          <w:rFonts w:ascii="Arial" w:cs="Arial" w:eastAsia="Arial" w:hAnsi="Arial"/>
          <w:sz w:val="15"/>
          <w:szCs w:val="15"/>
          <w:color w:val="auto"/>
        </w:rPr>
        <w:t>The Company returned approximately $1.3 billion to shareholders through dividends,</w:t>
      </w:r>
    </w:p>
    <w:p>
      <w:pPr>
        <w:spacing w:after="0" w:line="1" w:lineRule="exact"/>
        <w:rPr>
          <w:sz w:val="20"/>
          <w:szCs w:val="20"/>
          <w:color w:val="auto"/>
        </w:rPr>
      </w:pPr>
    </w:p>
    <w:p>
      <w:pPr>
        <w:ind w:right="820"/>
        <w:spacing w:after="0" w:line="209" w:lineRule="auto"/>
        <w:rPr>
          <w:sz w:val="20"/>
          <w:szCs w:val="20"/>
          <w:color w:val="auto"/>
        </w:rPr>
      </w:pPr>
      <w:r>
        <w:rPr>
          <w:rFonts w:ascii="Arial" w:cs="Arial" w:eastAsia="Arial" w:hAnsi="Arial"/>
          <w:sz w:val="16"/>
          <w:szCs w:val="16"/>
          <w:color w:val="auto"/>
        </w:rPr>
        <w:t>increasing dividends for the 39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consecutive year.</w:t>
      </w:r>
    </w:p>
    <w:p>
      <w:pPr>
        <w:spacing w:after="0" w:line="1103" w:lineRule="exact"/>
        <w:rPr>
          <w:sz w:val="20"/>
          <w:szCs w:val="20"/>
          <w:color w:val="auto"/>
        </w:rPr>
      </w:pPr>
    </w:p>
    <w:p>
      <w:pPr>
        <w:sectPr>
          <w:pgSz w:w="11900" w:h="16838" w:orient="portrait"/>
          <w:cols w:equalWidth="0" w:num="3">
            <w:col w:w="2980" w:space="260"/>
            <w:col w:w="4640" w:space="260"/>
            <w:col w:w="3100"/>
          </w:cols>
          <w:pgMar w:left="320" w:top="140" w:right="339" w:bottom="1440" w:gutter="0" w:footer="0" w:header="0"/>
          <w:type w:val="continuous"/>
        </w:sectPr>
      </w:pPr>
    </w:p>
    <w:p>
      <w:pPr>
        <w:spacing w:after="0" w:line="75" w:lineRule="exact"/>
        <w:rPr>
          <w:sz w:val="20"/>
          <w:szCs w:val="20"/>
          <w:color w:val="auto"/>
        </w:rPr>
      </w:pPr>
    </w:p>
    <w:p>
      <w:pPr>
        <w:jc w:val="both"/>
        <w:ind w:left="140" w:right="300"/>
        <w:spacing w:after="0" w:line="248" w:lineRule="auto"/>
        <w:rPr>
          <w:sz w:val="20"/>
          <w:szCs w:val="20"/>
          <w:color w:val="auto"/>
        </w:rPr>
      </w:pPr>
      <w:r>
        <w:rPr>
          <w:rFonts w:ascii="Arial" w:cs="Arial" w:eastAsia="Arial" w:hAnsi="Arial"/>
          <w:sz w:val="16"/>
          <w:szCs w:val="16"/>
          <w:color w:val="auto"/>
        </w:rPr>
        <w:t>We believe our higher purpose is to bring people together to collaborate and innovate solutions to the world’s most significant energy and environmental sustainability challenges. Our goal is to be the safest, most diverse and most profitable industrial gas company in the world, providing excellent service to our customers.</w:t>
      </w:r>
    </w:p>
    <w:p>
      <w:pPr>
        <w:spacing w:after="0" w:line="334" w:lineRule="exact"/>
        <w:rPr>
          <w:sz w:val="20"/>
          <w:szCs w:val="20"/>
          <w:color w:val="auto"/>
        </w:rPr>
      </w:pPr>
    </w:p>
    <w:p>
      <w:pPr>
        <w:spacing w:after="0"/>
        <w:rPr>
          <w:sz w:val="20"/>
          <w:szCs w:val="20"/>
          <w:color w:val="auto"/>
        </w:rPr>
      </w:pPr>
      <w:r>
        <w:rPr>
          <w:rFonts w:ascii="Arial" w:cs="Arial" w:eastAsia="Arial" w:hAnsi="Arial"/>
          <w:sz w:val="25"/>
          <w:szCs w:val="25"/>
          <w:color w:val="009A4B"/>
        </w:rPr>
        <w:t>Executing Our Growth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6906260" cy="139446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906260" cy="139446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00A4E4"/>
        </w:rPr>
        <w:t>NEOM Green Hydrogen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009A4B"/>
        </w:rPr>
        <w:t>$5 billion Joint Venture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808080"/>
        </w:rPr>
        <w:t>2026*</w:t>
      </w:r>
    </w:p>
    <w:p>
      <w:pPr>
        <w:spacing w:after="0" w:line="351" w:lineRule="exact"/>
        <w:rPr>
          <w:sz w:val="20"/>
          <w:szCs w:val="20"/>
          <w:color w:val="auto"/>
        </w:rPr>
      </w:pPr>
    </w:p>
    <w:p>
      <w:pPr>
        <w:ind w:left="200" w:hanging="194"/>
        <w:spacing w:after="0"/>
        <w:tabs>
          <w:tab w:leader="none" w:pos="2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Expected onstream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3660" w:val="left"/>
        </w:tabs>
        <w:rPr>
          <w:sz w:val="20"/>
          <w:szCs w:val="20"/>
          <w:color w:val="auto"/>
        </w:rPr>
      </w:pPr>
      <w:r>
        <w:rPr>
          <w:rFonts w:ascii="Arial" w:cs="Arial" w:eastAsia="Arial" w:hAnsi="Arial"/>
          <w:sz w:val="16"/>
          <w:szCs w:val="16"/>
          <w:b w:val="1"/>
          <w:bCs w:val="1"/>
          <w:color w:val="00A4E4"/>
        </w:rPr>
        <w:t>Alberta, Canada Net Zero Hydrogen</w:t>
      </w:r>
      <w:r>
        <w:rPr>
          <w:sz w:val="20"/>
          <w:szCs w:val="20"/>
          <w:color w:val="auto"/>
        </w:rPr>
        <w:tab/>
      </w:r>
      <w:r>
        <w:rPr>
          <w:rFonts w:ascii="Arial" w:cs="Arial" w:eastAsia="Arial" w:hAnsi="Arial"/>
          <w:sz w:val="16"/>
          <w:szCs w:val="16"/>
          <w:b w:val="1"/>
          <w:bCs w:val="1"/>
          <w:color w:val="00A4E4"/>
        </w:rPr>
        <w:t>Louisiana Blue Hydrogen and</w:t>
      </w:r>
    </w:p>
    <w:p>
      <w:pPr>
        <w:spacing w:after="0" w:line="22" w:lineRule="exact"/>
        <w:rPr>
          <w:sz w:val="20"/>
          <w:szCs w:val="20"/>
          <w:color w:val="auto"/>
        </w:rPr>
      </w:pPr>
    </w:p>
    <w:p>
      <w:pPr>
        <w:spacing w:after="0"/>
        <w:tabs>
          <w:tab w:leader="none" w:pos="3660" w:val="left"/>
        </w:tabs>
        <w:rPr>
          <w:sz w:val="20"/>
          <w:szCs w:val="20"/>
          <w:color w:val="auto"/>
        </w:rPr>
      </w:pPr>
      <w:r>
        <w:rPr>
          <w:rFonts w:ascii="Arial" w:cs="Arial" w:eastAsia="Arial" w:hAnsi="Arial"/>
          <w:sz w:val="16"/>
          <w:szCs w:val="16"/>
          <w:b w:val="1"/>
          <w:bCs w:val="1"/>
          <w:color w:val="009A4B"/>
        </w:rPr>
        <w:t>$1.3 billion (CAD)</w:t>
      </w:r>
      <w:r>
        <w:rPr>
          <w:sz w:val="20"/>
          <w:szCs w:val="20"/>
          <w:color w:val="auto"/>
        </w:rPr>
        <w:tab/>
      </w:r>
      <w:r>
        <w:rPr>
          <w:rFonts w:ascii="Arial" w:cs="Arial" w:eastAsia="Arial" w:hAnsi="Arial"/>
          <w:sz w:val="15"/>
          <w:szCs w:val="15"/>
          <w:b w:val="1"/>
          <w:bCs w:val="1"/>
          <w:color w:val="00A4E4"/>
        </w:rPr>
        <w:t>Carbon Capture</w:t>
      </w:r>
    </w:p>
    <w:p>
      <w:pPr>
        <w:spacing w:after="0" w:line="2" w:lineRule="exact"/>
        <w:rPr>
          <w:sz w:val="20"/>
          <w:szCs w:val="20"/>
          <w:color w:val="auto"/>
        </w:rPr>
      </w:pPr>
    </w:p>
    <w:p>
      <w:pPr>
        <w:spacing w:after="0"/>
        <w:tabs>
          <w:tab w:leader="none" w:pos="3660" w:val="left"/>
        </w:tabs>
        <w:rPr>
          <w:sz w:val="20"/>
          <w:szCs w:val="20"/>
          <w:color w:val="auto"/>
        </w:rPr>
      </w:pPr>
      <w:r>
        <w:rPr>
          <w:rFonts w:ascii="Arial" w:cs="Arial" w:eastAsia="Arial" w:hAnsi="Arial"/>
          <w:sz w:val="16"/>
          <w:szCs w:val="16"/>
          <w:b w:val="1"/>
          <w:bCs w:val="1"/>
          <w:color w:val="808080"/>
        </w:rPr>
        <w:t>2024*</w:t>
      </w:r>
      <w:r>
        <w:rPr>
          <w:sz w:val="20"/>
          <w:szCs w:val="20"/>
          <w:color w:val="auto"/>
        </w:rPr>
        <w:tab/>
      </w:r>
      <w:r>
        <w:rPr>
          <w:rFonts w:ascii="Arial" w:cs="Arial" w:eastAsia="Arial" w:hAnsi="Arial"/>
          <w:sz w:val="16"/>
          <w:szCs w:val="16"/>
          <w:b w:val="1"/>
          <w:bCs w:val="1"/>
          <w:color w:val="009A4B"/>
        </w:rPr>
        <w:t>$4.5 billion</w:t>
      </w:r>
    </w:p>
    <w:p>
      <w:pPr>
        <w:spacing w:after="0" w:line="2"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808080"/>
        </w:rPr>
        <w:t>2026*</w:t>
      </w:r>
    </w:p>
    <w:p>
      <w:pPr>
        <w:spacing w:after="0" w:line="200" w:lineRule="exact"/>
        <w:rPr>
          <w:sz w:val="20"/>
          <w:szCs w:val="20"/>
          <w:color w:val="auto"/>
        </w:rPr>
      </w:pPr>
    </w:p>
    <w:p>
      <w:pPr>
        <w:spacing w:after="0" w:line="25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98425</wp:posOffset>
            </wp:positionV>
            <wp:extent cx="7155180" cy="209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2">
            <w:col w:w="3180" w:space="720"/>
            <w:col w:w="7340"/>
          </w:cols>
          <w:pgMar w:left="320" w:top="140"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009A4B"/>
        </w:rPr>
        <w:t>Fiscal 2021 Executive Compensation Highlights</w:t>
      </w:r>
    </w:p>
    <w:p>
      <w:pPr>
        <w:spacing w:after="0" w:line="221" w:lineRule="exact"/>
        <w:rPr>
          <w:sz w:val="20"/>
          <w:szCs w:val="20"/>
          <w:color w:val="auto"/>
        </w:rPr>
      </w:pPr>
    </w:p>
    <w:p>
      <w:pPr>
        <w:spacing w:after="0"/>
        <w:rPr>
          <w:sz w:val="20"/>
          <w:szCs w:val="20"/>
          <w:color w:val="auto"/>
        </w:rPr>
      </w:pPr>
      <w:r>
        <w:rPr>
          <w:rFonts w:ascii="Arial" w:cs="Arial" w:eastAsia="Arial" w:hAnsi="Arial"/>
          <w:sz w:val="23"/>
          <w:szCs w:val="23"/>
          <w:color w:val="auto"/>
        </w:rPr>
        <w:t>Leadership Changes</w:t>
      </w:r>
    </w:p>
    <w:p>
      <w:pPr>
        <w:spacing w:after="0" w:line="223"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In July 2021, we announced the appointment of Ms. Melissa N. Schaeffer as our new CFO, effective August 10, 2021, in connection with the retirement of Mr. Scott Crocco who had served as our CFO since 2013.</w:t>
      </w:r>
    </w:p>
    <w:p>
      <w:pPr>
        <w:spacing w:after="0" w:line="205" w:lineRule="exact"/>
        <w:rPr>
          <w:sz w:val="20"/>
          <w:szCs w:val="20"/>
          <w:color w:val="auto"/>
        </w:rPr>
      </w:pPr>
    </w:p>
    <w:p>
      <w:pPr>
        <w:spacing w:after="0"/>
        <w:rPr>
          <w:sz w:val="20"/>
          <w:szCs w:val="20"/>
          <w:color w:val="auto"/>
        </w:rPr>
      </w:pPr>
      <w:r>
        <w:rPr>
          <w:rFonts w:ascii="Arial" w:cs="Arial" w:eastAsia="Arial" w:hAnsi="Arial"/>
          <w:sz w:val="23"/>
          <w:szCs w:val="23"/>
          <w:color w:val="auto"/>
        </w:rPr>
        <w:t>Target Total Direct Compensation</w:t>
      </w:r>
    </w:p>
    <w:p>
      <w:pPr>
        <w:spacing w:after="0" w:line="223"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color w:val="auto"/>
        </w:rPr>
        <w:t>At the beginning of the year, after benchmarking against peer companies as discussed below, the Management Development and Compensation Committee (within this Compensation Discussion and Analysis, the “Committee”) established the fiscal 2021 target total direct compensation for the executive officers. Mr. Ghasemi’s compensation was determined pursuant to his amended and restated employment agreement, dated November 14, 2017 (as amended on May 21, 2020, the “Employment Agreement”), which is described on page 56.</w:t>
      </w:r>
    </w:p>
    <w:p>
      <w:pPr>
        <w:spacing w:after="0" w:line="151"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The table below indicates the target total direct compensation opportunity (base salary, annual incentive award target and target value of long-term incentive awards) provided to our named executive officers for fiscal 2021. Total direct compensation that is actually paid to our named executive officers varies from the information below based on the amount of annual incentive awards that are achieved and any discretionary bonuses or severance that is paid out during a fiscal year. This information regarding target total direct compensation opportunity is intended to supplement, but not replace, the Summary Compensation Table, which reports fiscal 2021 compensation in the format required by SEC rules.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0" w:type="dxa"/>
            <w:vAlign w:val="bottom"/>
          </w:tcPr>
          <w:p>
            <w:pPr>
              <w:jc w:val="right"/>
              <w:ind w:right="224"/>
              <w:spacing w:after="0"/>
              <w:rPr>
                <w:sz w:val="20"/>
                <w:szCs w:val="20"/>
                <w:color w:val="auto"/>
              </w:rPr>
            </w:pPr>
            <w:r>
              <w:rPr>
                <w:rFonts w:ascii="Arial" w:cs="Arial" w:eastAsia="Arial" w:hAnsi="Arial"/>
                <w:sz w:val="14"/>
                <w:szCs w:val="14"/>
                <w:b w:val="1"/>
                <w:bCs w:val="1"/>
                <w:color w:val="auto"/>
              </w:rPr>
              <w:t>Annual</w:t>
            </w:r>
          </w:p>
        </w:tc>
        <w:tc>
          <w:tcPr>
            <w:tcW w:w="1420" w:type="dxa"/>
            <w:vAlign w:val="bottom"/>
          </w:tcPr>
          <w:p>
            <w:pPr>
              <w:jc w:val="right"/>
              <w:ind w:right="84"/>
              <w:spacing w:after="0"/>
              <w:rPr>
                <w:sz w:val="20"/>
                <w:szCs w:val="20"/>
                <w:color w:val="auto"/>
              </w:rPr>
            </w:pPr>
            <w:r>
              <w:rPr>
                <w:rFonts w:ascii="Arial" w:cs="Arial" w:eastAsia="Arial" w:hAnsi="Arial"/>
                <w:sz w:val="14"/>
                <w:szCs w:val="14"/>
                <w:b w:val="1"/>
                <w:bCs w:val="1"/>
                <w:color w:val="auto"/>
              </w:rPr>
              <w:t>Grant Value of</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Target</w:t>
            </w:r>
          </w:p>
        </w:tc>
      </w:tr>
      <w:tr>
        <w:trPr>
          <w:trHeight w:val="160"/>
        </w:trPr>
        <w:tc>
          <w:tcPr>
            <w:tcW w:w="41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200" w:type="dxa"/>
            <w:vAlign w:val="bottom"/>
          </w:tcPr>
          <w:p>
            <w:pPr>
              <w:jc w:val="right"/>
              <w:ind w:right="224"/>
              <w:spacing w:after="0" w:line="160" w:lineRule="exact"/>
              <w:rPr>
                <w:sz w:val="20"/>
                <w:szCs w:val="20"/>
                <w:color w:val="auto"/>
              </w:rPr>
            </w:pPr>
            <w:r>
              <w:rPr>
                <w:rFonts w:ascii="Arial" w:cs="Arial" w:eastAsia="Arial" w:hAnsi="Arial"/>
                <w:sz w:val="14"/>
                <w:szCs w:val="14"/>
                <w:b w:val="1"/>
                <w:bCs w:val="1"/>
                <w:color w:val="auto"/>
              </w:rPr>
              <w:t>Incentive</w:t>
            </w:r>
          </w:p>
        </w:tc>
        <w:tc>
          <w:tcPr>
            <w:tcW w:w="1420" w:type="dxa"/>
            <w:vAlign w:val="bottom"/>
          </w:tcPr>
          <w:p>
            <w:pPr>
              <w:jc w:val="right"/>
              <w:ind w:right="84"/>
              <w:spacing w:after="0" w:line="160" w:lineRule="exact"/>
              <w:rPr>
                <w:sz w:val="20"/>
                <w:szCs w:val="20"/>
                <w:color w:val="auto"/>
              </w:rPr>
            </w:pPr>
            <w:r>
              <w:rPr>
                <w:rFonts w:ascii="Arial" w:cs="Arial" w:eastAsia="Arial" w:hAnsi="Arial"/>
                <w:sz w:val="14"/>
                <w:szCs w:val="14"/>
                <w:b w:val="1"/>
                <w:bCs w:val="1"/>
                <w:color w:val="auto"/>
              </w:rPr>
              <w:t>Long-Term</w:t>
            </w:r>
          </w:p>
        </w:tc>
        <w:tc>
          <w:tcPr>
            <w:tcW w:w="118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Total Direct</w:t>
            </w:r>
          </w:p>
        </w:tc>
      </w:tr>
      <w:tr>
        <w:trPr>
          <w:trHeight w:val="160"/>
        </w:trPr>
        <w:tc>
          <w:tcPr>
            <w:tcW w:w="4120" w:type="dxa"/>
            <w:vAlign w:val="bottom"/>
          </w:tcPr>
          <w:p>
            <w:pPr>
              <w:spacing w:after="0"/>
              <w:rPr>
                <w:sz w:val="13"/>
                <w:szCs w:val="13"/>
                <w:color w:val="auto"/>
              </w:rPr>
            </w:pPr>
          </w:p>
        </w:tc>
        <w:tc>
          <w:tcPr>
            <w:tcW w:w="3320" w:type="dxa"/>
            <w:vAlign w:val="bottom"/>
          </w:tcPr>
          <w:p>
            <w:pPr>
              <w:jc w:val="right"/>
              <w:ind w:right="123"/>
              <w:spacing w:after="0" w:line="160" w:lineRule="exact"/>
              <w:rPr>
                <w:sz w:val="20"/>
                <w:szCs w:val="20"/>
                <w:color w:val="auto"/>
              </w:rPr>
            </w:pPr>
            <w:r>
              <w:rPr>
                <w:rFonts w:ascii="Arial" w:cs="Arial" w:eastAsia="Arial" w:hAnsi="Arial"/>
                <w:sz w:val="14"/>
                <w:szCs w:val="14"/>
                <w:b w:val="1"/>
                <w:bCs w:val="1"/>
                <w:color w:val="auto"/>
              </w:rPr>
              <w:t>Base Salary</w:t>
            </w:r>
          </w:p>
        </w:tc>
        <w:tc>
          <w:tcPr>
            <w:tcW w:w="1200" w:type="dxa"/>
            <w:vAlign w:val="bottom"/>
          </w:tcPr>
          <w:p>
            <w:pPr>
              <w:jc w:val="right"/>
              <w:ind w:right="224"/>
              <w:spacing w:after="0" w:line="160" w:lineRule="exact"/>
              <w:rPr>
                <w:sz w:val="20"/>
                <w:szCs w:val="20"/>
                <w:color w:val="auto"/>
              </w:rPr>
            </w:pPr>
            <w:r>
              <w:rPr>
                <w:rFonts w:ascii="Arial" w:cs="Arial" w:eastAsia="Arial" w:hAnsi="Arial"/>
                <w:sz w:val="14"/>
                <w:szCs w:val="14"/>
                <w:b w:val="1"/>
                <w:bCs w:val="1"/>
                <w:color w:val="auto"/>
              </w:rPr>
              <w:t>Target</w:t>
            </w:r>
          </w:p>
        </w:tc>
        <w:tc>
          <w:tcPr>
            <w:tcW w:w="1420" w:type="dxa"/>
            <w:vAlign w:val="bottom"/>
          </w:tcPr>
          <w:p>
            <w:pPr>
              <w:jc w:val="right"/>
              <w:ind w:right="84"/>
              <w:spacing w:after="0" w:line="160" w:lineRule="exact"/>
              <w:rPr>
                <w:sz w:val="20"/>
                <w:szCs w:val="20"/>
                <w:color w:val="auto"/>
              </w:rPr>
            </w:pPr>
            <w:r>
              <w:rPr>
                <w:rFonts w:ascii="Arial" w:cs="Arial" w:eastAsia="Arial" w:hAnsi="Arial"/>
                <w:sz w:val="14"/>
                <w:szCs w:val="14"/>
                <w:b w:val="1"/>
                <w:bCs w:val="1"/>
                <w:color w:val="auto"/>
              </w:rPr>
              <w:t>Incentives</w:t>
            </w:r>
          </w:p>
        </w:tc>
        <w:tc>
          <w:tcPr>
            <w:tcW w:w="118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Compensation</w:t>
            </w:r>
          </w:p>
        </w:tc>
      </w:tr>
      <w:tr>
        <w:trPr>
          <w:trHeight w:val="206"/>
        </w:trPr>
        <w:tc>
          <w:tcPr>
            <w:tcW w:w="41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Officer</w:t>
            </w:r>
          </w:p>
        </w:tc>
        <w:tc>
          <w:tcPr>
            <w:tcW w:w="332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33"/>
        </w:trPr>
        <w:tc>
          <w:tcPr>
            <w:tcW w:w="4120" w:type="dxa"/>
            <w:vAlign w:val="bottom"/>
            <w:tcBorders>
              <w:bottom w:val="single" w:sz="8" w:color="949599"/>
            </w:tcBorders>
          </w:tcPr>
          <w:p>
            <w:pPr>
              <w:ind w:left="60"/>
              <w:spacing w:after="0"/>
              <w:rPr>
                <w:sz w:val="20"/>
                <w:szCs w:val="20"/>
                <w:color w:val="auto"/>
              </w:rPr>
            </w:pPr>
            <w:r>
              <w:rPr>
                <w:rFonts w:ascii="Arial" w:cs="Arial" w:eastAsia="Arial" w:hAnsi="Arial"/>
                <w:sz w:val="16"/>
                <w:szCs w:val="16"/>
                <w:b w:val="1"/>
                <w:bCs w:val="1"/>
                <w:color w:val="009A4B"/>
              </w:rPr>
              <w:t>Seifi Ghasemi</w:t>
            </w:r>
          </w:p>
        </w:tc>
        <w:tc>
          <w:tcPr>
            <w:tcW w:w="3320" w:type="dxa"/>
            <w:vAlign w:val="bottom"/>
            <w:tcBorders>
              <w:bottom w:val="single" w:sz="8" w:color="949599"/>
            </w:tcBorders>
          </w:tcPr>
          <w:p>
            <w:pPr>
              <w:jc w:val="right"/>
              <w:ind w:right="123"/>
              <w:spacing w:after="0"/>
              <w:rPr>
                <w:sz w:val="20"/>
                <w:szCs w:val="20"/>
                <w:color w:val="auto"/>
              </w:rPr>
            </w:pPr>
            <w:r>
              <w:rPr>
                <w:rFonts w:ascii="Arial" w:cs="Arial" w:eastAsia="Arial" w:hAnsi="Arial"/>
                <w:sz w:val="16"/>
                <w:szCs w:val="16"/>
                <w:color w:val="auto"/>
              </w:rPr>
              <w:t>1,350,000</w:t>
            </w:r>
          </w:p>
        </w:tc>
        <w:tc>
          <w:tcPr>
            <w:tcW w:w="1200" w:type="dxa"/>
            <w:vAlign w:val="bottom"/>
            <w:tcBorders>
              <w:bottom w:val="single" w:sz="8" w:color="949599"/>
            </w:tcBorders>
          </w:tcPr>
          <w:p>
            <w:pPr>
              <w:jc w:val="right"/>
              <w:ind w:right="224"/>
              <w:spacing w:after="0"/>
              <w:rPr>
                <w:sz w:val="20"/>
                <w:szCs w:val="20"/>
                <w:color w:val="auto"/>
              </w:rPr>
            </w:pPr>
            <w:r>
              <w:rPr>
                <w:rFonts w:ascii="Arial" w:cs="Arial" w:eastAsia="Arial" w:hAnsi="Arial"/>
                <w:sz w:val="16"/>
                <w:szCs w:val="16"/>
                <w:color w:val="auto"/>
              </w:rPr>
              <w:t>2,025,000</w:t>
            </w:r>
          </w:p>
        </w:tc>
        <w:tc>
          <w:tcPr>
            <w:tcW w:w="1420" w:type="dxa"/>
            <w:vAlign w:val="bottom"/>
            <w:tcBorders>
              <w:bottom w:val="single" w:sz="8" w:color="949599"/>
            </w:tcBorders>
          </w:tcPr>
          <w:p>
            <w:pPr>
              <w:jc w:val="right"/>
              <w:ind w:right="84"/>
              <w:spacing w:after="0"/>
              <w:rPr>
                <w:sz w:val="20"/>
                <w:szCs w:val="20"/>
                <w:color w:val="auto"/>
              </w:rPr>
            </w:pPr>
            <w:r>
              <w:rPr>
                <w:rFonts w:ascii="Arial" w:cs="Arial" w:eastAsia="Arial" w:hAnsi="Arial"/>
                <w:sz w:val="16"/>
                <w:szCs w:val="16"/>
                <w:color w:val="auto"/>
              </w:rPr>
              <w:t>11,000,000</w:t>
            </w:r>
          </w:p>
        </w:tc>
        <w:tc>
          <w:tcPr>
            <w:tcW w:w="118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14,375,000</w:t>
            </w:r>
          </w:p>
        </w:tc>
      </w:tr>
      <w:tr>
        <w:trPr>
          <w:trHeight w:val="280"/>
        </w:trPr>
        <w:tc>
          <w:tcPr>
            <w:tcW w:w="4120" w:type="dxa"/>
            <w:vAlign w:val="bottom"/>
            <w:tcBorders>
              <w:bottom w:val="single" w:sz="8" w:color="949599"/>
            </w:tcBorders>
          </w:tcPr>
          <w:p>
            <w:pPr>
              <w:ind w:left="60"/>
              <w:spacing w:after="0" w:line="280" w:lineRule="exact"/>
              <w:rPr>
                <w:sz w:val="20"/>
                <w:szCs w:val="20"/>
                <w:color w:val="auto"/>
              </w:rPr>
            </w:pPr>
            <w:r>
              <w:rPr>
                <w:rFonts w:ascii="Arial" w:cs="Arial" w:eastAsia="Arial" w:hAnsi="Arial"/>
                <w:sz w:val="16"/>
                <w:szCs w:val="16"/>
                <w:b w:val="1"/>
                <w:bCs w:val="1"/>
                <w:color w:val="009A4B"/>
              </w:rPr>
              <w:t>Melissa N. Schaeffer</w:t>
            </w:r>
            <w:r>
              <w:rPr>
                <w:rFonts w:ascii="Arial" w:cs="Arial" w:eastAsia="Arial" w:hAnsi="Arial"/>
                <w:sz w:val="26"/>
                <w:szCs w:val="26"/>
                <w:b w:val="1"/>
                <w:bCs w:val="1"/>
                <w:color w:val="009A4B"/>
                <w:vertAlign w:val="superscript"/>
              </w:rPr>
              <w:t>(1)</w:t>
            </w:r>
          </w:p>
        </w:tc>
        <w:tc>
          <w:tcPr>
            <w:tcW w:w="3320" w:type="dxa"/>
            <w:vAlign w:val="bottom"/>
            <w:tcBorders>
              <w:bottom w:val="single" w:sz="8" w:color="949599"/>
            </w:tcBorders>
          </w:tcPr>
          <w:p>
            <w:pPr>
              <w:jc w:val="right"/>
              <w:ind w:right="123"/>
              <w:spacing w:after="0"/>
              <w:rPr>
                <w:sz w:val="20"/>
                <w:szCs w:val="20"/>
                <w:color w:val="auto"/>
              </w:rPr>
            </w:pPr>
            <w:r>
              <w:rPr>
                <w:rFonts w:ascii="Arial" w:cs="Arial" w:eastAsia="Arial" w:hAnsi="Arial"/>
                <w:sz w:val="16"/>
                <w:szCs w:val="16"/>
                <w:color w:val="auto"/>
              </w:rPr>
              <w:t>550,000</w:t>
            </w:r>
          </w:p>
        </w:tc>
        <w:tc>
          <w:tcPr>
            <w:tcW w:w="1200" w:type="dxa"/>
            <w:vAlign w:val="bottom"/>
            <w:tcBorders>
              <w:bottom w:val="single" w:sz="8" w:color="949599"/>
            </w:tcBorders>
          </w:tcPr>
          <w:p>
            <w:pPr>
              <w:jc w:val="right"/>
              <w:ind w:right="224"/>
              <w:spacing w:after="0"/>
              <w:rPr>
                <w:sz w:val="20"/>
                <w:szCs w:val="20"/>
                <w:color w:val="auto"/>
              </w:rPr>
            </w:pPr>
            <w:r>
              <w:rPr>
                <w:rFonts w:ascii="Arial" w:cs="Arial" w:eastAsia="Arial" w:hAnsi="Arial"/>
                <w:sz w:val="16"/>
                <w:szCs w:val="16"/>
                <w:color w:val="auto"/>
              </w:rPr>
              <w:t>412,500</w:t>
            </w:r>
          </w:p>
        </w:tc>
        <w:tc>
          <w:tcPr>
            <w:tcW w:w="1420" w:type="dxa"/>
            <w:vAlign w:val="bottom"/>
            <w:tcBorders>
              <w:bottom w:val="single" w:sz="8" w:color="949599"/>
            </w:tcBorders>
          </w:tcPr>
          <w:p>
            <w:pPr>
              <w:jc w:val="right"/>
              <w:ind w:right="84"/>
              <w:spacing w:after="0"/>
              <w:rPr>
                <w:sz w:val="20"/>
                <w:szCs w:val="20"/>
                <w:color w:val="auto"/>
              </w:rPr>
            </w:pPr>
            <w:r>
              <w:rPr>
                <w:rFonts w:ascii="Arial" w:cs="Arial" w:eastAsia="Arial" w:hAnsi="Arial"/>
                <w:sz w:val="16"/>
                <w:szCs w:val="16"/>
                <w:color w:val="auto"/>
              </w:rPr>
              <w:t>1,200,000</w:t>
            </w:r>
          </w:p>
        </w:tc>
        <w:tc>
          <w:tcPr>
            <w:tcW w:w="118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2,162,500</w:t>
            </w:r>
          </w:p>
        </w:tc>
      </w:tr>
      <w:tr>
        <w:trPr>
          <w:trHeight w:val="226"/>
        </w:trPr>
        <w:tc>
          <w:tcPr>
            <w:tcW w:w="4120" w:type="dxa"/>
            <w:vAlign w:val="bottom"/>
            <w:tcBorders>
              <w:bottom w:val="single" w:sz="8" w:color="949599"/>
            </w:tcBorders>
          </w:tcPr>
          <w:p>
            <w:pPr>
              <w:ind w:left="60"/>
              <w:spacing w:after="0"/>
              <w:rPr>
                <w:sz w:val="20"/>
                <w:szCs w:val="20"/>
                <w:color w:val="auto"/>
              </w:rPr>
            </w:pPr>
            <w:r>
              <w:rPr>
                <w:rFonts w:ascii="Arial" w:cs="Arial" w:eastAsia="Arial" w:hAnsi="Arial"/>
                <w:sz w:val="16"/>
                <w:szCs w:val="16"/>
                <w:b w:val="1"/>
                <w:bCs w:val="1"/>
                <w:color w:val="009A4B"/>
              </w:rPr>
              <w:t>M. Scott Crocco</w:t>
            </w:r>
          </w:p>
        </w:tc>
        <w:tc>
          <w:tcPr>
            <w:tcW w:w="3320" w:type="dxa"/>
            <w:vAlign w:val="bottom"/>
            <w:tcBorders>
              <w:bottom w:val="single" w:sz="8" w:color="949599"/>
            </w:tcBorders>
          </w:tcPr>
          <w:p>
            <w:pPr>
              <w:jc w:val="right"/>
              <w:ind w:right="123"/>
              <w:spacing w:after="0"/>
              <w:rPr>
                <w:sz w:val="20"/>
                <w:szCs w:val="20"/>
                <w:color w:val="auto"/>
              </w:rPr>
            </w:pPr>
            <w:r>
              <w:rPr>
                <w:rFonts w:ascii="Arial" w:cs="Arial" w:eastAsia="Arial" w:hAnsi="Arial"/>
                <w:sz w:val="16"/>
                <w:szCs w:val="16"/>
                <w:color w:val="auto"/>
              </w:rPr>
              <w:t>650,000</w:t>
            </w:r>
          </w:p>
        </w:tc>
        <w:tc>
          <w:tcPr>
            <w:tcW w:w="1200" w:type="dxa"/>
            <w:vAlign w:val="bottom"/>
            <w:tcBorders>
              <w:bottom w:val="single" w:sz="8" w:color="949599"/>
            </w:tcBorders>
          </w:tcPr>
          <w:p>
            <w:pPr>
              <w:jc w:val="right"/>
              <w:ind w:right="224"/>
              <w:spacing w:after="0"/>
              <w:rPr>
                <w:sz w:val="20"/>
                <w:szCs w:val="20"/>
                <w:color w:val="auto"/>
              </w:rPr>
            </w:pPr>
            <w:r>
              <w:rPr>
                <w:rFonts w:ascii="Arial" w:cs="Arial" w:eastAsia="Arial" w:hAnsi="Arial"/>
                <w:sz w:val="16"/>
                <w:szCs w:val="16"/>
                <w:color w:val="auto"/>
              </w:rPr>
              <w:t>585,000</w:t>
            </w:r>
          </w:p>
        </w:tc>
        <w:tc>
          <w:tcPr>
            <w:tcW w:w="1420" w:type="dxa"/>
            <w:vAlign w:val="bottom"/>
            <w:tcBorders>
              <w:bottom w:val="single" w:sz="8" w:color="949599"/>
            </w:tcBorders>
          </w:tcPr>
          <w:p>
            <w:pPr>
              <w:jc w:val="right"/>
              <w:ind w:right="84"/>
              <w:spacing w:after="0"/>
              <w:rPr>
                <w:sz w:val="20"/>
                <w:szCs w:val="20"/>
                <w:color w:val="auto"/>
              </w:rPr>
            </w:pPr>
            <w:r>
              <w:rPr>
                <w:rFonts w:ascii="Arial" w:cs="Arial" w:eastAsia="Arial" w:hAnsi="Arial"/>
                <w:sz w:val="16"/>
                <w:szCs w:val="16"/>
                <w:color w:val="auto"/>
              </w:rPr>
              <w:t>1,700,000</w:t>
            </w:r>
          </w:p>
        </w:tc>
        <w:tc>
          <w:tcPr>
            <w:tcW w:w="118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2,935,000</w:t>
            </w:r>
          </w:p>
        </w:tc>
      </w:tr>
      <w:tr>
        <w:trPr>
          <w:trHeight w:val="233"/>
        </w:trPr>
        <w:tc>
          <w:tcPr>
            <w:tcW w:w="4120" w:type="dxa"/>
            <w:vAlign w:val="bottom"/>
            <w:tcBorders>
              <w:bottom w:val="single" w:sz="8" w:color="949599"/>
            </w:tcBorders>
          </w:tcPr>
          <w:p>
            <w:pPr>
              <w:ind w:left="60"/>
              <w:spacing w:after="0"/>
              <w:rPr>
                <w:sz w:val="20"/>
                <w:szCs w:val="20"/>
                <w:color w:val="auto"/>
              </w:rPr>
            </w:pPr>
            <w:r>
              <w:rPr>
                <w:rFonts w:ascii="Arial" w:cs="Arial" w:eastAsia="Arial" w:hAnsi="Arial"/>
                <w:sz w:val="16"/>
                <w:szCs w:val="16"/>
                <w:b w:val="1"/>
                <w:bCs w:val="1"/>
                <w:color w:val="009A4B"/>
              </w:rPr>
              <w:t>Sean D. Major</w:t>
            </w:r>
          </w:p>
        </w:tc>
        <w:tc>
          <w:tcPr>
            <w:tcW w:w="3320" w:type="dxa"/>
            <w:vAlign w:val="bottom"/>
            <w:tcBorders>
              <w:bottom w:val="single" w:sz="8" w:color="949599"/>
            </w:tcBorders>
          </w:tcPr>
          <w:p>
            <w:pPr>
              <w:jc w:val="right"/>
              <w:ind w:right="123"/>
              <w:spacing w:after="0"/>
              <w:rPr>
                <w:sz w:val="20"/>
                <w:szCs w:val="20"/>
                <w:color w:val="auto"/>
              </w:rPr>
            </w:pPr>
            <w:r>
              <w:rPr>
                <w:rFonts w:ascii="Arial" w:cs="Arial" w:eastAsia="Arial" w:hAnsi="Arial"/>
                <w:sz w:val="16"/>
                <w:szCs w:val="16"/>
                <w:color w:val="auto"/>
              </w:rPr>
              <w:t>550,000</w:t>
            </w:r>
          </w:p>
        </w:tc>
        <w:tc>
          <w:tcPr>
            <w:tcW w:w="1200" w:type="dxa"/>
            <w:vAlign w:val="bottom"/>
            <w:tcBorders>
              <w:bottom w:val="single" w:sz="8" w:color="949599"/>
            </w:tcBorders>
          </w:tcPr>
          <w:p>
            <w:pPr>
              <w:jc w:val="right"/>
              <w:ind w:right="224"/>
              <w:spacing w:after="0"/>
              <w:rPr>
                <w:sz w:val="20"/>
                <w:szCs w:val="20"/>
                <w:color w:val="auto"/>
              </w:rPr>
            </w:pPr>
            <w:r>
              <w:rPr>
                <w:rFonts w:ascii="Arial" w:cs="Arial" w:eastAsia="Arial" w:hAnsi="Arial"/>
                <w:sz w:val="16"/>
                <w:szCs w:val="16"/>
                <w:color w:val="auto"/>
              </w:rPr>
              <w:t>495,000</w:t>
            </w:r>
          </w:p>
        </w:tc>
        <w:tc>
          <w:tcPr>
            <w:tcW w:w="1420" w:type="dxa"/>
            <w:vAlign w:val="bottom"/>
            <w:tcBorders>
              <w:bottom w:val="single" w:sz="8" w:color="949599"/>
            </w:tcBorders>
          </w:tcPr>
          <w:p>
            <w:pPr>
              <w:jc w:val="right"/>
              <w:ind w:right="84"/>
              <w:spacing w:after="0"/>
              <w:rPr>
                <w:sz w:val="20"/>
                <w:szCs w:val="20"/>
                <w:color w:val="auto"/>
              </w:rPr>
            </w:pPr>
            <w:r>
              <w:rPr>
                <w:rFonts w:ascii="Arial" w:cs="Arial" w:eastAsia="Arial" w:hAnsi="Arial"/>
                <w:sz w:val="16"/>
                <w:szCs w:val="16"/>
                <w:color w:val="auto"/>
              </w:rPr>
              <w:t>1,400,000</w:t>
            </w:r>
          </w:p>
        </w:tc>
        <w:tc>
          <w:tcPr>
            <w:tcW w:w="118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2,445,000</w:t>
            </w:r>
          </w:p>
        </w:tc>
      </w:tr>
      <w:tr>
        <w:trPr>
          <w:trHeight w:val="246"/>
        </w:trPr>
        <w:tc>
          <w:tcPr>
            <w:tcW w:w="41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9A4B"/>
              </w:rPr>
              <w:t>Samir J. Serhan</w:t>
            </w:r>
          </w:p>
        </w:tc>
        <w:tc>
          <w:tcPr>
            <w:tcW w:w="332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700,000</w:t>
            </w:r>
          </w:p>
        </w:tc>
        <w:tc>
          <w:tcPr>
            <w:tcW w:w="120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color w:val="auto"/>
              </w:rPr>
              <w:t>630,000</w:t>
            </w:r>
          </w:p>
        </w:tc>
        <w:tc>
          <w:tcPr>
            <w:tcW w:w="142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2,000,000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3,330,000</w:t>
            </w:r>
          </w:p>
        </w:tc>
      </w:tr>
    </w:tbl>
    <w:p>
      <w:pPr>
        <w:spacing w:after="0" w:line="138" w:lineRule="exact"/>
        <w:rPr>
          <w:sz w:val="20"/>
          <w:szCs w:val="20"/>
          <w:color w:val="auto"/>
        </w:rPr>
      </w:pPr>
    </w:p>
    <w:p>
      <w:pPr>
        <w:ind w:left="320" w:right="440" w:hanging="314"/>
        <w:spacing w:after="0" w:line="181" w:lineRule="auto"/>
        <w:tabs>
          <w:tab w:leader="none" w:pos="320" w:val="left"/>
        </w:tabs>
        <w:numPr>
          <w:ilvl w:val="0"/>
          <w:numId w:val="35"/>
        </w:numPr>
        <w:rPr>
          <w:rFonts w:ascii="Arial" w:cs="Arial" w:eastAsia="Arial" w:hAnsi="Arial"/>
          <w:sz w:val="24"/>
          <w:szCs w:val="24"/>
          <w:color w:val="auto"/>
          <w:vertAlign w:val="superscript"/>
        </w:rPr>
      </w:pPr>
      <w:r>
        <w:rPr>
          <w:rFonts w:ascii="Arial" w:cs="Arial" w:eastAsia="Arial" w:hAnsi="Arial"/>
          <w:sz w:val="14"/>
          <w:szCs w:val="14"/>
          <w:color w:val="auto"/>
        </w:rPr>
        <w:t>Ms. Schaeffer was appointed as CFO effective August 10, 2021. As part of the leadership transition described above, the Committee, with the advice of its independent compensation consultant, Willis Towers Watson (“WTW”), approved the compensation package for Ms. Schaeffer that is summarized in this table.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For fiscal 2021, target total direct compensation opportunities established by the Committee positioned all executive officers competitively versus market.</w:t>
      </w:r>
    </w:p>
    <w:p>
      <w:pPr>
        <w:ind w:right="280"/>
        <w:spacing w:after="0" w:line="209" w:lineRule="auto"/>
        <w:rPr>
          <w:sz w:val="20"/>
          <w:szCs w:val="20"/>
          <w:color w:val="auto"/>
        </w:rPr>
      </w:pPr>
      <w:r>
        <w:rPr>
          <w:rFonts w:ascii="Arial" w:cs="Arial" w:eastAsia="Arial" w:hAnsi="Arial"/>
          <w:sz w:val="16"/>
          <w:szCs w:val="16"/>
          <w:color w:val="auto"/>
        </w:rPr>
        <w:t>Based on Mr. Ghasemi’s superior performance throughout his tenure with Air Products, his fiscal 2021 pay was set to approximate the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96520</wp:posOffset>
            </wp:positionV>
            <wp:extent cx="845185" cy="20256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45185" cy="20256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7155180" cy="209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the components of total direct compensation for fiscal 2021 delivered to our CEO and our other named executive officers.</w:t>
      </w:r>
    </w:p>
    <w:p>
      <w:pPr>
        <w:spacing w:after="0" w:line="172"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480" w:type="dxa"/>
            <w:vAlign w:val="bottom"/>
          </w:tcPr>
          <w:p>
            <w:pPr>
              <w:ind w:left="740"/>
              <w:spacing w:after="0"/>
              <w:rPr>
                <w:sz w:val="20"/>
                <w:szCs w:val="20"/>
                <w:color w:val="auto"/>
              </w:rPr>
            </w:pPr>
            <w:r>
              <w:rPr>
                <w:rFonts w:ascii="Arial" w:cs="Arial" w:eastAsia="Arial" w:hAnsi="Arial"/>
                <w:sz w:val="14"/>
                <w:szCs w:val="14"/>
                <w:b w:val="1"/>
                <w:bCs w:val="1"/>
                <w:color w:val="auto"/>
              </w:rPr>
              <w:t>Other</w:t>
            </w:r>
          </w:p>
        </w:tc>
        <w:tc>
          <w:tcPr>
            <w:tcW w:w="4360" w:type="dxa"/>
            <w:vAlign w:val="bottom"/>
          </w:tcPr>
          <w:p>
            <w:pPr>
              <w:spacing w:after="0"/>
              <w:rPr>
                <w:sz w:val="14"/>
                <w:szCs w:val="14"/>
                <w:color w:val="auto"/>
              </w:rPr>
            </w:pPr>
          </w:p>
        </w:tc>
      </w:tr>
      <w:tr>
        <w:trPr>
          <w:trHeight w:val="160"/>
        </w:trPr>
        <w:tc>
          <w:tcPr>
            <w:tcW w:w="18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480" w:type="dxa"/>
            <w:vAlign w:val="bottom"/>
          </w:tcPr>
          <w:p>
            <w:pPr>
              <w:ind w:left="740"/>
              <w:spacing w:after="0" w:line="160" w:lineRule="exact"/>
              <w:rPr>
                <w:sz w:val="20"/>
                <w:szCs w:val="20"/>
                <w:color w:val="auto"/>
              </w:rPr>
            </w:pPr>
            <w:r>
              <w:rPr>
                <w:rFonts w:ascii="Arial" w:cs="Arial" w:eastAsia="Arial" w:hAnsi="Arial"/>
                <w:sz w:val="14"/>
                <w:szCs w:val="14"/>
                <w:b w:val="1"/>
                <w:bCs w:val="1"/>
                <w:color w:val="auto"/>
              </w:rPr>
              <w:t>Named Executive</w:t>
            </w:r>
          </w:p>
        </w:tc>
        <w:tc>
          <w:tcPr>
            <w:tcW w:w="4360" w:type="dxa"/>
            <w:vAlign w:val="bottom"/>
          </w:tcPr>
          <w:p>
            <w:pPr>
              <w:spacing w:after="0"/>
              <w:rPr>
                <w:sz w:val="13"/>
                <w:szCs w:val="13"/>
                <w:color w:val="auto"/>
              </w:rPr>
            </w:pPr>
          </w:p>
        </w:tc>
      </w:tr>
      <w:tr>
        <w:trPr>
          <w:trHeight w:val="206"/>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Type</w:t>
            </w:r>
          </w:p>
        </w:tc>
        <w:tc>
          <w:tcPr>
            <w:tcW w:w="212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CEO Target</w:t>
            </w:r>
          </w:p>
        </w:tc>
        <w:tc>
          <w:tcPr>
            <w:tcW w:w="248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Officer Target</w:t>
            </w:r>
          </w:p>
        </w:tc>
        <w:tc>
          <w:tcPr>
            <w:tcW w:w="43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Key Terms</w:t>
            </w:r>
          </w:p>
        </w:tc>
      </w:tr>
      <w:tr>
        <w:trPr>
          <w:trHeight w:val="215"/>
        </w:trPr>
        <w:tc>
          <w:tcPr>
            <w:tcW w:w="1880" w:type="dxa"/>
            <w:vAlign w:val="bottom"/>
          </w:tcPr>
          <w:p>
            <w:pPr>
              <w:spacing w:after="0"/>
              <w:rPr>
                <w:sz w:val="20"/>
                <w:szCs w:val="20"/>
                <w:color w:val="auto"/>
              </w:rPr>
            </w:pPr>
            <w:r>
              <w:rPr>
                <w:rFonts w:ascii="Arial" w:cs="Arial" w:eastAsia="Arial" w:hAnsi="Arial"/>
                <w:sz w:val="16"/>
                <w:szCs w:val="16"/>
                <w:b w:val="1"/>
                <w:bCs w:val="1"/>
                <w:color w:val="404040"/>
              </w:rPr>
              <w:t>Base Salary</w:t>
            </w:r>
          </w:p>
        </w:tc>
        <w:tc>
          <w:tcPr>
            <w:tcW w:w="2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360" w:type="dxa"/>
            <w:vAlign w:val="bottom"/>
          </w:tcPr>
          <w:p>
            <w:pPr>
              <w:ind w:left="540"/>
              <w:spacing w:after="0"/>
              <w:rPr>
                <w:sz w:val="20"/>
                <w:szCs w:val="20"/>
                <w:color w:val="auto"/>
              </w:rPr>
            </w:pPr>
            <w:r>
              <w:rPr>
                <w:rFonts w:ascii="Arial" w:cs="Arial" w:eastAsia="Arial" w:hAnsi="Arial"/>
                <w:sz w:val="16"/>
                <w:szCs w:val="16"/>
                <w:color w:val="404040"/>
              </w:rPr>
              <w:t xml:space="preserve">•  </w:t>
            </w:r>
            <w:r>
              <w:rPr>
                <w:rFonts w:ascii="Arial" w:cs="Arial" w:eastAsia="Arial" w:hAnsi="Arial"/>
                <w:sz w:val="16"/>
                <w:szCs w:val="16"/>
                <w:color w:val="000000"/>
              </w:rPr>
              <w:t>Other NEO target at market median with</w:t>
            </w:r>
          </w:p>
        </w:tc>
      </w:tr>
      <w:tr>
        <w:trPr>
          <w:trHeight w:val="186"/>
        </w:trPr>
        <w:tc>
          <w:tcPr>
            <w:tcW w:w="18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360" w:type="dxa"/>
            <w:vAlign w:val="bottom"/>
          </w:tcPr>
          <w:p>
            <w:pPr>
              <w:ind w:left="720"/>
              <w:spacing w:after="0"/>
              <w:rPr>
                <w:sz w:val="20"/>
                <w:szCs w:val="20"/>
                <w:color w:val="auto"/>
              </w:rPr>
            </w:pPr>
            <w:r>
              <w:rPr>
                <w:rFonts w:ascii="Arial" w:cs="Arial" w:eastAsia="Arial" w:hAnsi="Arial"/>
                <w:sz w:val="16"/>
                <w:szCs w:val="16"/>
                <w:color w:val="auto"/>
              </w:rPr>
              <w:t>adjustment based on level of responsibility,</w:t>
            </w:r>
          </w:p>
        </w:tc>
      </w:tr>
      <w:tr>
        <w:trPr>
          <w:trHeight w:val="193"/>
        </w:trPr>
        <w:tc>
          <w:tcPr>
            <w:tcW w:w="18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360" w:type="dxa"/>
            <w:vAlign w:val="bottom"/>
          </w:tcPr>
          <w:p>
            <w:pPr>
              <w:ind w:left="720"/>
              <w:spacing w:after="0"/>
              <w:rPr>
                <w:sz w:val="20"/>
                <w:szCs w:val="20"/>
                <w:color w:val="auto"/>
              </w:rPr>
            </w:pPr>
            <w:r>
              <w:rPr>
                <w:rFonts w:ascii="Arial" w:cs="Arial" w:eastAsia="Arial" w:hAnsi="Arial"/>
                <w:sz w:val="16"/>
                <w:szCs w:val="16"/>
                <w:color w:val="auto"/>
              </w:rPr>
              <w:t>experience and individual performance</w:t>
            </w:r>
          </w:p>
        </w:tc>
      </w:tr>
      <w:tr>
        <w:trPr>
          <w:trHeight w:val="172"/>
        </w:trPr>
        <w:tc>
          <w:tcPr>
            <w:tcW w:w="1880" w:type="dxa"/>
            <w:vAlign w:val="bottom"/>
            <w:tcBorders>
              <w:bottom w:val="single" w:sz="8" w:color="8F9193"/>
            </w:tcBorders>
          </w:tcPr>
          <w:p>
            <w:pPr>
              <w:spacing w:after="0"/>
              <w:rPr>
                <w:sz w:val="14"/>
                <w:szCs w:val="14"/>
                <w:color w:val="auto"/>
              </w:rPr>
            </w:pPr>
          </w:p>
        </w:tc>
        <w:tc>
          <w:tcPr>
            <w:tcW w:w="2120" w:type="dxa"/>
            <w:vAlign w:val="bottom"/>
            <w:tcBorders>
              <w:bottom w:val="single" w:sz="8" w:color="8F9193"/>
            </w:tcBorders>
          </w:tcPr>
          <w:p>
            <w:pPr>
              <w:spacing w:after="0"/>
              <w:rPr>
                <w:sz w:val="14"/>
                <w:szCs w:val="14"/>
                <w:color w:val="auto"/>
              </w:rPr>
            </w:pPr>
          </w:p>
        </w:tc>
        <w:tc>
          <w:tcPr>
            <w:tcW w:w="2480" w:type="dxa"/>
            <w:vAlign w:val="bottom"/>
            <w:tcBorders>
              <w:bottom w:val="single" w:sz="8" w:color="8F9193"/>
            </w:tcBorders>
          </w:tcPr>
          <w:p>
            <w:pPr>
              <w:spacing w:after="0"/>
              <w:rPr>
                <w:sz w:val="14"/>
                <w:szCs w:val="14"/>
                <w:color w:val="auto"/>
              </w:rPr>
            </w:pPr>
          </w:p>
        </w:tc>
        <w:tc>
          <w:tcPr>
            <w:tcW w:w="4360" w:type="dxa"/>
            <w:vAlign w:val="bottom"/>
            <w:tcBorders>
              <w:bottom w:val="single" w:sz="8" w:color="8F9193"/>
            </w:tcBorders>
          </w:tcPr>
          <w:p>
            <w:pPr>
              <w:spacing w:after="0"/>
              <w:rPr>
                <w:sz w:val="14"/>
                <w:szCs w:val="14"/>
                <w:color w:val="auto"/>
              </w:rPr>
            </w:pPr>
          </w:p>
        </w:tc>
      </w:tr>
      <w:tr>
        <w:trPr>
          <w:trHeight w:val="221"/>
        </w:trPr>
        <w:tc>
          <w:tcPr>
            <w:tcW w:w="1880" w:type="dxa"/>
            <w:vAlign w:val="bottom"/>
          </w:tcPr>
          <w:p>
            <w:pPr>
              <w:spacing w:after="0"/>
              <w:rPr>
                <w:sz w:val="20"/>
                <w:szCs w:val="20"/>
                <w:color w:val="auto"/>
              </w:rPr>
            </w:pPr>
            <w:r>
              <w:rPr>
                <w:rFonts w:ascii="Arial" w:cs="Arial" w:eastAsia="Arial" w:hAnsi="Arial"/>
                <w:sz w:val="16"/>
                <w:szCs w:val="16"/>
                <w:b w:val="1"/>
                <w:bCs w:val="1"/>
                <w:color w:val="009A4B"/>
              </w:rPr>
              <w:t>Annual Incentive</w:t>
            </w:r>
          </w:p>
        </w:tc>
        <w:tc>
          <w:tcPr>
            <w:tcW w:w="2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360" w:type="dxa"/>
            <w:vAlign w:val="bottom"/>
          </w:tcPr>
          <w:p>
            <w:pPr>
              <w:ind w:left="540"/>
              <w:spacing w:after="0"/>
              <w:rPr>
                <w:sz w:val="20"/>
                <w:szCs w:val="20"/>
                <w:color w:val="auto"/>
              </w:rPr>
            </w:pPr>
            <w:r>
              <w:rPr>
                <w:rFonts w:ascii="Arial" w:cs="Arial" w:eastAsia="Arial" w:hAnsi="Arial"/>
                <w:sz w:val="16"/>
                <w:szCs w:val="16"/>
                <w:color w:val="009A4B"/>
              </w:rPr>
              <w:t xml:space="preserve">•  </w:t>
            </w:r>
            <w:r>
              <w:rPr>
                <w:rFonts w:ascii="Arial" w:cs="Arial" w:eastAsia="Arial" w:hAnsi="Arial"/>
                <w:sz w:val="16"/>
                <w:szCs w:val="16"/>
                <w:color w:val="000000"/>
              </w:rPr>
              <w:t>Target payout references market median</w:t>
            </w:r>
          </w:p>
        </w:tc>
      </w:tr>
      <w:tr>
        <w:trPr>
          <w:trHeight w:val="220"/>
        </w:trPr>
        <w:tc>
          <w:tcPr>
            <w:tcW w:w="18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360" w:type="dxa"/>
            <w:vAlign w:val="bottom"/>
          </w:tcPr>
          <w:p>
            <w:pPr>
              <w:ind w:left="540"/>
              <w:spacing w:after="0"/>
              <w:rPr>
                <w:sz w:val="20"/>
                <w:szCs w:val="20"/>
                <w:color w:val="auto"/>
              </w:rPr>
            </w:pPr>
            <w:r>
              <w:rPr>
                <w:rFonts w:ascii="Arial" w:cs="Arial" w:eastAsia="Arial" w:hAnsi="Arial"/>
                <w:sz w:val="16"/>
                <w:szCs w:val="16"/>
                <w:color w:val="009A4B"/>
              </w:rPr>
              <w:t xml:space="preserve">•  </w:t>
            </w:r>
            <w:r>
              <w:rPr>
                <w:rFonts w:ascii="Arial" w:cs="Arial" w:eastAsia="Arial" w:hAnsi="Arial"/>
                <w:sz w:val="16"/>
                <w:szCs w:val="16"/>
                <w:color w:val="000000"/>
              </w:rPr>
              <w:t>Payout driven by aggressive adjusted earnings per</w:t>
            </w:r>
          </w:p>
        </w:tc>
      </w:tr>
      <w:tr>
        <w:trPr>
          <w:trHeight w:val="193"/>
        </w:trPr>
        <w:tc>
          <w:tcPr>
            <w:tcW w:w="18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360" w:type="dxa"/>
            <w:vAlign w:val="bottom"/>
          </w:tcPr>
          <w:p>
            <w:pPr>
              <w:ind w:left="720"/>
              <w:spacing w:after="0"/>
              <w:rPr>
                <w:sz w:val="20"/>
                <w:szCs w:val="20"/>
                <w:color w:val="auto"/>
              </w:rPr>
            </w:pPr>
            <w:r>
              <w:rPr>
                <w:rFonts w:ascii="Arial" w:cs="Arial" w:eastAsia="Arial" w:hAnsi="Arial"/>
                <w:sz w:val="16"/>
                <w:szCs w:val="16"/>
                <w:color w:val="auto"/>
              </w:rPr>
              <w:t>share (“EPS”) target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-917575</wp:posOffset>
            </wp:positionV>
            <wp:extent cx="7142480" cy="27813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42480" cy="278130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400"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009A4B"/>
        </w:rPr>
        <w:t>Long-Term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-97155</wp:posOffset>
            </wp:positionV>
            <wp:extent cx="2755900" cy="154686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755900" cy="1546860"/>
                    </a:xfrm>
                    <a:prstGeom prst="rect">
                      <a:avLst/>
                    </a:prstGeom>
                    <a:noFill/>
                  </pic:spPr>
                </pic:pic>
              </a:graphicData>
            </a:graphic>
          </wp:anchor>
        </w:drawing>
        <w:drawing>
          <wp:anchor simplePos="0" relativeHeight="251657728" behindDoc="1" locked="0" layoutInCell="0" allowOverlap="1">
            <wp:simplePos x="0" y="0"/>
            <wp:positionH relativeFrom="column">
              <wp:posOffset>257810</wp:posOffset>
            </wp:positionH>
            <wp:positionV relativeFrom="paragraph">
              <wp:posOffset>-97155</wp:posOffset>
            </wp:positionV>
            <wp:extent cx="2755900" cy="154686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755900" cy="154686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720"/>
        <w:spacing w:after="0"/>
        <w:rPr>
          <w:sz w:val="20"/>
          <w:szCs w:val="20"/>
          <w:color w:val="auto"/>
        </w:rPr>
      </w:pPr>
      <w:r>
        <w:rPr>
          <w:rFonts w:ascii="Arial" w:cs="Arial" w:eastAsia="Arial" w:hAnsi="Arial"/>
          <w:sz w:val="16"/>
          <w:szCs w:val="16"/>
          <w:color w:val="009A4B"/>
        </w:rPr>
        <w:t>Performance</w:t>
      </w:r>
    </w:p>
    <w:p>
      <w:pPr>
        <w:spacing w:after="0" w:line="2" w:lineRule="exact"/>
        <w:rPr>
          <w:sz w:val="20"/>
          <w:szCs w:val="20"/>
          <w:color w:val="auto"/>
        </w:rPr>
      </w:pPr>
    </w:p>
    <w:p>
      <w:pPr>
        <w:ind w:left="720"/>
        <w:spacing w:after="0"/>
        <w:rPr>
          <w:sz w:val="20"/>
          <w:szCs w:val="20"/>
          <w:color w:val="auto"/>
        </w:rPr>
      </w:pPr>
      <w:r>
        <w:rPr>
          <w:rFonts w:ascii="Arial" w:cs="Arial" w:eastAsia="Arial" w:hAnsi="Arial"/>
          <w:sz w:val="16"/>
          <w:szCs w:val="16"/>
          <w:color w:val="009A4B"/>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20"/>
        <w:spacing w:after="0"/>
        <w:rPr>
          <w:sz w:val="20"/>
          <w:szCs w:val="20"/>
          <w:color w:val="auto"/>
        </w:rPr>
      </w:pPr>
      <w:r>
        <w:rPr>
          <w:rFonts w:ascii="Arial" w:cs="Arial" w:eastAsia="Arial" w:hAnsi="Arial"/>
          <w:sz w:val="16"/>
          <w:szCs w:val="16"/>
          <w:color w:val="009A4B"/>
        </w:rPr>
        <w:t>Restricted Stock</w:t>
      </w:r>
    </w:p>
    <w:p>
      <w:pPr>
        <w:spacing w:after="0" w:line="2" w:lineRule="exact"/>
        <w:rPr>
          <w:sz w:val="20"/>
          <w:szCs w:val="20"/>
          <w:color w:val="auto"/>
        </w:rPr>
      </w:pPr>
    </w:p>
    <w:p>
      <w:pPr>
        <w:ind w:left="720"/>
        <w:spacing w:after="0"/>
        <w:rPr>
          <w:sz w:val="20"/>
          <w:szCs w:val="20"/>
          <w:color w:val="auto"/>
        </w:rPr>
      </w:pPr>
      <w:r>
        <w:rPr>
          <w:rFonts w:ascii="Arial" w:cs="Arial" w:eastAsia="Arial" w:hAnsi="Arial"/>
          <w:sz w:val="16"/>
          <w:szCs w:val="16"/>
          <w:color w:val="009A4B"/>
        </w:rPr>
        <w:t>Units</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ind w:left="179" w:hanging="179"/>
        <w:spacing w:after="0" w:line="254" w:lineRule="auto"/>
        <w:tabs>
          <w:tab w:leader="none" w:pos="191" w:val="left"/>
        </w:tabs>
        <w:numPr>
          <w:ilvl w:val="0"/>
          <w:numId w:val="36"/>
        </w:numPr>
        <w:rPr>
          <w:rFonts w:ascii="Arial" w:cs="Arial" w:eastAsia="Arial" w:hAnsi="Arial"/>
          <w:sz w:val="16"/>
          <w:szCs w:val="16"/>
          <w:color w:val="009A4B"/>
        </w:rPr>
      </w:pPr>
      <w:r>
        <w:rPr>
          <w:rFonts w:ascii="Arial" w:cs="Arial" w:eastAsia="Arial" w:hAnsi="Arial"/>
          <w:sz w:val="16"/>
          <w:szCs w:val="16"/>
          <w:color w:val="auto"/>
        </w:rPr>
        <w:t>Target value based on market median for long-term incentives</w:t>
      </w:r>
    </w:p>
    <w:p>
      <w:pPr>
        <w:spacing w:after="0" w:line="342" w:lineRule="exact"/>
        <w:rPr>
          <w:rFonts w:ascii="Arial" w:cs="Arial" w:eastAsia="Arial" w:hAnsi="Arial"/>
          <w:sz w:val="16"/>
          <w:szCs w:val="16"/>
          <w:color w:val="009A4B"/>
        </w:rPr>
      </w:pPr>
    </w:p>
    <w:p>
      <w:pPr>
        <w:ind w:left="179" w:right="160" w:hanging="179"/>
        <w:spacing w:after="0" w:line="248" w:lineRule="auto"/>
        <w:tabs>
          <w:tab w:leader="none" w:pos="191" w:val="left"/>
        </w:tabs>
        <w:numPr>
          <w:ilvl w:val="0"/>
          <w:numId w:val="36"/>
        </w:numPr>
        <w:rPr>
          <w:rFonts w:ascii="Arial" w:cs="Arial" w:eastAsia="Arial" w:hAnsi="Arial"/>
          <w:sz w:val="16"/>
          <w:szCs w:val="16"/>
          <w:color w:val="009A4B"/>
        </w:rPr>
      </w:pPr>
      <w:r>
        <w:rPr>
          <w:rFonts w:ascii="Arial" w:cs="Arial" w:eastAsia="Arial" w:hAnsi="Arial"/>
          <w:sz w:val="16"/>
          <w:szCs w:val="16"/>
          <w:color w:val="auto"/>
        </w:rPr>
        <w:t>Actual payout based on relative total shareholder return (“TSR”) over a three-year performance period</w:t>
      </w:r>
    </w:p>
    <w:p>
      <w:pPr>
        <w:ind w:left="199" w:hanging="199"/>
        <w:spacing w:after="0" w:line="230" w:lineRule="auto"/>
        <w:tabs>
          <w:tab w:leader="none" w:pos="199" w:val="left"/>
        </w:tabs>
        <w:numPr>
          <w:ilvl w:val="0"/>
          <w:numId w:val="36"/>
        </w:numPr>
        <w:rPr>
          <w:rFonts w:ascii="Arial" w:cs="Arial" w:eastAsia="Arial" w:hAnsi="Arial"/>
          <w:sz w:val="16"/>
          <w:szCs w:val="16"/>
          <w:color w:val="009A4B"/>
        </w:rPr>
      </w:pPr>
      <w:r>
        <w:rPr>
          <w:rFonts w:ascii="Arial" w:cs="Arial" w:eastAsia="Arial" w:hAnsi="Arial"/>
          <w:sz w:val="16"/>
          <w:szCs w:val="16"/>
          <w:color w:val="auto"/>
        </w:rPr>
        <w:t>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required for target payout</w:t>
      </w:r>
    </w:p>
    <w:p>
      <w:pPr>
        <w:ind w:left="179" w:right="280" w:hanging="179"/>
        <w:spacing w:after="0" w:line="254" w:lineRule="auto"/>
        <w:tabs>
          <w:tab w:leader="none" w:pos="191" w:val="left"/>
        </w:tabs>
        <w:numPr>
          <w:ilvl w:val="0"/>
          <w:numId w:val="36"/>
        </w:numPr>
        <w:rPr>
          <w:rFonts w:ascii="Arial" w:cs="Arial" w:eastAsia="Arial" w:hAnsi="Arial"/>
          <w:sz w:val="16"/>
          <w:szCs w:val="16"/>
          <w:color w:val="009A4B"/>
        </w:rPr>
      </w:pPr>
      <w:r>
        <w:rPr>
          <w:rFonts w:ascii="Arial" w:cs="Arial" w:eastAsia="Arial" w:hAnsi="Arial"/>
          <w:sz w:val="16"/>
          <w:szCs w:val="16"/>
          <w:color w:val="auto"/>
        </w:rPr>
        <w:t>Actual value determined by shareholder returns during vesting period</w:t>
      </w:r>
    </w:p>
    <w:p>
      <w:pPr>
        <w:spacing w:after="0" w:line="23" w:lineRule="exact"/>
        <w:rPr>
          <w:rFonts w:ascii="Arial" w:cs="Arial" w:eastAsia="Arial" w:hAnsi="Arial"/>
          <w:sz w:val="16"/>
          <w:szCs w:val="16"/>
          <w:color w:val="009A4B"/>
        </w:rPr>
      </w:pPr>
    </w:p>
    <w:p>
      <w:pPr>
        <w:ind w:left="179" w:right="240" w:hanging="179"/>
        <w:spacing w:after="0" w:line="254" w:lineRule="auto"/>
        <w:tabs>
          <w:tab w:leader="none" w:pos="191" w:val="left"/>
        </w:tabs>
        <w:numPr>
          <w:ilvl w:val="0"/>
          <w:numId w:val="36"/>
        </w:numPr>
        <w:rPr>
          <w:rFonts w:ascii="Arial" w:cs="Arial" w:eastAsia="Arial" w:hAnsi="Arial"/>
          <w:sz w:val="16"/>
          <w:szCs w:val="16"/>
          <w:color w:val="009A4B"/>
        </w:rPr>
      </w:pPr>
      <w:r>
        <w:rPr>
          <w:rFonts w:ascii="Arial" w:cs="Arial" w:eastAsia="Arial" w:hAnsi="Arial"/>
          <w:sz w:val="16"/>
          <w:szCs w:val="16"/>
          <w:color w:val="auto"/>
        </w:rPr>
        <w:t>Restricted stock units (“RSUs”) vest over a four-year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-1515745</wp:posOffset>
            </wp:positionV>
            <wp:extent cx="6880860" cy="159766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80860" cy="159766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-1515745</wp:posOffset>
            </wp:positionV>
            <wp:extent cx="6880860" cy="159766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80860" cy="159766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6701" w:space="720"/>
            <w:col w:w="3819"/>
          </w:cols>
          <w:pgMar w:left="320" w:top="140" w:right="33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23"/>
          <w:szCs w:val="23"/>
          <w:color w:val="auto"/>
        </w:rPr>
        <w:t>Incentive Plan Metrics and Goals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In fiscal 2021, the Committee continued to grant incentive compensation opportunities designed to support the Company’s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7134225" cy="76073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34225" cy="760730"/>
                    </a:xfrm>
                    <a:prstGeom prst="rect">
                      <a:avLst/>
                    </a:prstGeom>
                    <a:noFill/>
                  </pic:spPr>
                </pic:pic>
              </a:graphicData>
            </a:graphic>
          </wp:anchor>
        </w:drawing>
      </w:r>
    </w:p>
    <w:p>
      <w:pPr>
        <w:spacing w:after="0" w:line="275" w:lineRule="exact"/>
        <w:rPr>
          <w:sz w:val="20"/>
          <w:szCs w:val="20"/>
          <w:color w:val="auto"/>
        </w:rPr>
      </w:pPr>
    </w:p>
    <w:p>
      <w:pPr>
        <w:ind w:left="140" w:right="160"/>
        <w:spacing w:after="0" w:line="245" w:lineRule="auto"/>
        <w:rPr>
          <w:sz w:val="20"/>
          <w:szCs w:val="20"/>
          <w:color w:val="auto"/>
        </w:rPr>
      </w:pPr>
      <w:r>
        <w:rPr>
          <w:rFonts w:ascii="Arial" w:cs="Arial" w:eastAsia="Arial" w:hAnsi="Arial"/>
          <w:sz w:val="16"/>
          <w:szCs w:val="16"/>
          <w:color w:val="auto"/>
        </w:rPr>
        <w:t>The Committee supports the Company’s strategies by focusing the Company’s annual incentive program on achieving aggressive adjusted earnings per share targets. For fiscal 2021, executive officers’ annual incentive awards again were based on adjusted earnings per share, and the adjusted earnings per share targets were translated to adjusted EBITDA targets for the business units below the executive officer level to align rewards with value-creating performance. Target level payouts for fiscal 2021 were conditioned on meeting or exceeding the Company’s adjusted earnings per share goal of approximately 8% growth.</w:t>
      </w:r>
    </w:p>
    <w:p>
      <w:pPr>
        <w:spacing w:after="0" w:line="286" w:lineRule="exact"/>
        <w:rPr>
          <w:sz w:val="20"/>
          <w:szCs w:val="20"/>
          <w:color w:val="auto"/>
        </w:rPr>
      </w:pPr>
    </w:p>
    <w:p>
      <w:pPr>
        <w:jc w:val="both"/>
        <w:ind w:right="140"/>
        <w:spacing w:after="0" w:line="246" w:lineRule="auto"/>
        <w:rPr>
          <w:sz w:val="20"/>
          <w:szCs w:val="20"/>
          <w:color w:val="auto"/>
        </w:rPr>
      </w:pPr>
      <w:r>
        <w:rPr>
          <w:rFonts w:ascii="Arial" w:cs="Arial" w:eastAsia="Arial" w:hAnsi="Arial"/>
          <w:sz w:val="16"/>
          <w:szCs w:val="16"/>
          <w:color w:val="auto"/>
        </w:rPr>
        <w:t>For fiscal 2021, the Committee also continued to grant 60% of long-term incentives in performance shares tied to TSR relative to a Peer Reference Group of industrial companies. Additional information about the Peer Reference Group is provided on pages 44-45. This metric reflects the growth in capital that would be experienced from purchasing a share of Company or Peer Reference Group member stock and holding it for the performance period while reinvesting any dividends paid. The remaining 40% of long-term incentives was granted in RSUs that vest over a four-year period.</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7155180" cy="209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9A4B"/>
        </w:rPr>
        <w:t>FISCAL 2021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-57150</wp:posOffset>
            </wp:positionV>
            <wp:extent cx="48348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128270</wp:posOffset>
            </wp:positionV>
            <wp:extent cx="7134225"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960" w:type="dxa"/>
            <w:vAlign w:val="bottom"/>
            <w:tcBorders>
              <w:bottom w:val="single" w:sz="8" w:color="949599"/>
            </w:tcBorders>
          </w:tcPr>
          <w:p>
            <w:pPr>
              <w:ind w:left="60"/>
              <w:spacing w:after="0"/>
              <w:rPr>
                <w:sz w:val="20"/>
                <w:szCs w:val="20"/>
                <w:color w:val="auto"/>
              </w:rPr>
            </w:pPr>
            <w:r>
              <w:rPr>
                <w:rFonts w:ascii="Arial" w:cs="Arial" w:eastAsia="Arial" w:hAnsi="Arial"/>
                <w:sz w:val="16"/>
                <w:szCs w:val="16"/>
                <w:b w:val="1"/>
                <w:bCs w:val="1"/>
                <w:color w:val="auto"/>
              </w:rPr>
              <w:t>Annual Incentive Metric</w:t>
            </w:r>
          </w:p>
        </w:tc>
        <w:tc>
          <w:tcPr>
            <w:tcW w:w="7280" w:type="dxa"/>
            <w:vAlign w:val="bottom"/>
            <w:tcBorders>
              <w:bottom w:val="single" w:sz="8" w:color="949599"/>
            </w:tcBorders>
          </w:tcPr>
          <w:p>
            <w:pPr>
              <w:ind w:left="1620"/>
              <w:spacing w:after="0"/>
              <w:rPr>
                <w:sz w:val="20"/>
                <w:szCs w:val="20"/>
                <w:color w:val="auto"/>
              </w:rPr>
            </w:pPr>
            <w:r>
              <w:rPr>
                <w:rFonts w:ascii="Arial" w:cs="Arial" w:eastAsia="Arial" w:hAnsi="Arial"/>
                <w:sz w:val="16"/>
                <w:szCs w:val="16"/>
                <w:color w:val="auto"/>
              </w:rPr>
              <w:t>Adjusted Earnings Per Share</w:t>
            </w:r>
          </w:p>
        </w:tc>
      </w:tr>
      <w:tr>
        <w:trPr>
          <w:trHeight w:val="233"/>
        </w:trPr>
        <w:tc>
          <w:tcPr>
            <w:tcW w:w="3960" w:type="dxa"/>
            <w:vAlign w:val="bottom"/>
            <w:tcBorders>
              <w:bottom w:val="single" w:sz="8" w:color="949599"/>
            </w:tcBorders>
          </w:tcPr>
          <w:p>
            <w:pPr>
              <w:ind w:left="60"/>
              <w:spacing w:after="0"/>
              <w:rPr>
                <w:sz w:val="20"/>
                <w:szCs w:val="20"/>
                <w:color w:val="auto"/>
              </w:rPr>
            </w:pPr>
            <w:r>
              <w:rPr>
                <w:rFonts w:ascii="Arial" w:cs="Arial" w:eastAsia="Arial" w:hAnsi="Arial"/>
                <w:sz w:val="16"/>
                <w:szCs w:val="16"/>
                <w:b w:val="1"/>
                <w:bCs w:val="1"/>
                <w:color w:val="auto"/>
              </w:rPr>
              <w:t>Performance Shares Metric</w:t>
            </w:r>
          </w:p>
        </w:tc>
        <w:tc>
          <w:tcPr>
            <w:tcW w:w="7280" w:type="dxa"/>
            <w:vAlign w:val="bottom"/>
            <w:tcBorders>
              <w:bottom w:val="single" w:sz="8" w:color="949599"/>
            </w:tcBorders>
          </w:tcPr>
          <w:p>
            <w:pPr>
              <w:ind w:left="1620"/>
              <w:spacing w:after="0"/>
              <w:rPr>
                <w:sz w:val="20"/>
                <w:szCs w:val="20"/>
                <w:color w:val="auto"/>
              </w:rPr>
            </w:pPr>
            <w:r>
              <w:rPr>
                <w:rFonts w:ascii="Arial" w:cs="Arial" w:eastAsia="Arial" w:hAnsi="Arial"/>
                <w:sz w:val="16"/>
                <w:szCs w:val="16"/>
                <w:color w:val="auto"/>
              </w:rPr>
              <w:t>Relative TSR</w:t>
            </w:r>
          </w:p>
        </w:tc>
      </w:tr>
      <w:tr>
        <w:trPr>
          <w:trHeight w:val="233"/>
        </w:trPr>
        <w:tc>
          <w:tcPr>
            <w:tcW w:w="3960" w:type="dxa"/>
            <w:vAlign w:val="bottom"/>
            <w:tcBorders>
              <w:bottom w:val="single" w:sz="8" w:color="949599"/>
            </w:tcBorders>
          </w:tcPr>
          <w:p>
            <w:pPr>
              <w:ind w:left="60"/>
              <w:spacing w:after="0"/>
              <w:rPr>
                <w:sz w:val="20"/>
                <w:szCs w:val="20"/>
                <w:color w:val="auto"/>
              </w:rPr>
            </w:pPr>
            <w:r>
              <w:rPr>
                <w:rFonts w:ascii="Arial" w:cs="Arial" w:eastAsia="Arial" w:hAnsi="Arial"/>
                <w:sz w:val="16"/>
                <w:szCs w:val="16"/>
                <w:b w:val="1"/>
                <w:bCs w:val="1"/>
                <w:color w:val="auto"/>
              </w:rPr>
              <w:t>Performance Shares Weight</w:t>
            </w:r>
          </w:p>
        </w:tc>
        <w:tc>
          <w:tcPr>
            <w:tcW w:w="7280" w:type="dxa"/>
            <w:vAlign w:val="bottom"/>
            <w:tcBorders>
              <w:bottom w:val="single" w:sz="8" w:color="949599"/>
            </w:tcBorders>
          </w:tcPr>
          <w:p>
            <w:pPr>
              <w:ind w:left="1620"/>
              <w:spacing w:after="0"/>
              <w:rPr>
                <w:sz w:val="20"/>
                <w:szCs w:val="20"/>
                <w:color w:val="auto"/>
              </w:rPr>
            </w:pPr>
            <w:r>
              <w:rPr>
                <w:rFonts w:ascii="Arial" w:cs="Arial" w:eastAsia="Arial" w:hAnsi="Arial"/>
                <w:sz w:val="16"/>
                <w:szCs w:val="16"/>
                <w:b w:val="1"/>
                <w:bCs w:val="1"/>
                <w:color w:val="009A4B"/>
              </w:rPr>
              <w:t xml:space="preserve">60% </w:t>
            </w:r>
            <w:r>
              <w:rPr>
                <w:rFonts w:ascii="Arial" w:cs="Arial" w:eastAsia="Arial" w:hAnsi="Arial"/>
                <w:sz w:val="16"/>
                <w:szCs w:val="16"/>
                <w:color w:val="000000"/>
              </w:rPr>
              <w:t>Long-Term Incentive Value</w:t>
            </w:r>
          </w:p>
        </w:tc>
      </w:tr>
      <w:tr>
        <w:trPr>
          <w:trHeight w:val="246"/>
        </w:trPr>
        <w:tc>
          <w:tcPr>
            <w:tcW w:w="39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Restricted Stock Units Weight</w:t>
            </w:r>
          </w:p>
        </w:tc>
        <w:tc>
          <w:tcPr>
            <w:tcW w:w="7280" w:type="dxa"/>
            <w:vAlign w:val="bottom"/>
            <w:tcBorders>
              <w:bottom w:val="single" w:sz="8" w:color="auto"/>
            </w:tcBorders>
          </w:tcPr>
          <w:p>
            <w:pPr>
              <w:ind w:left="1620"/>
              <w:spacing w:after="0"/>
              <w:rPr>
                <w:sz w:val="20"/>
                <w:szCs w:val="20"/>
                <w:color w:val="auto"/>
              </w:rPr>
            </w:pPr>
            <w:r>
              <w:rPr>
                <w:rFonts w:ascii="Arial" w:cs="Arial" w:eastAsia="Arial" w:hAnsi="Arial"/>
                <w:sz w:val="16"/>
                <w:szCs w:val="16"/>
                <w:b w:val="1"/>
                <w:bCs w:val="1"/>
                <w:color w:val="009A4B"/>
              </w:rPr>
              <w:t xml:space="preserve">40% </w:t>
            </w:r>
            <w:r>
              <w:rPr>
                <w:rFonts w:ascii="Arial" w:cs="Arial" w:eastAsia="Arial" w:hAnsi="Arial"/>
                <w:sz w:val="16"/>
                <w:szCs w:val="16"/>
                <w:color w:val="000000"/>
              </w:rPr>
              <w:t>Long-Term Incentive Value</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23"/>
          <w:szCs w:val="23"/>
          <w:color w:val="auto"/>
        </w:rPr>
        <w:t>Pay and Performance Alignment</w:t>
      </w:r>
    </w:p>
    <w:p>
      <w:pPr>
        <w:spacing w:after="0" w:line="226"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In fiscal 2021, the Company delivered positive financial results despite the ongoing COVID-19 pandemic and continued to create and win large-scale projects around the world that help our customers meet their most pressing needs for cleaner energy and environmental solutions. On September 27, 2021, the Company announced the signing and finalization of definitive agreements for the asset acquisition and project financing of the $12 billion air separation unit/gasification/power joint venture in Jazan Economic City, Saudi Arabia. On October 14, 2021, the Company announced a landmark $4.5 billion blue hydrogen clean energy complex in Louisiana. Following the end of the year, the Committee determined actual annual incentive awards for the named executive officers. The performance measure for the annual incentive awards was adjusted earnings per share and the payout metrics and calculation methodology are described on pages 37-38. Based on the Company’s performance, the Committee approved an annual incentive award payout factor of 95% for all named executive officers.</w:t>
      </w:r>
    </w:p>
    <w:p>
      <w:pPr>
        <w:spacing w:after="0" w:line="154" w:lineRule="exact"/>
        <w:rPr>
          <w:sz w:val="20"/>
          <w:szCs w:val="20"/>
          <w:color w:val="auto"/>
        </w:rPr>
      </w:pPr>
    </w:p>
    <w:p>
      <w:pPr>
        <w:ind w:right="160"/>
        <w:spacing w:after="0" w:line="246" w:lineRule="auto"/>
        <w:rPr>
          <w:sz w:val="20"/>
          <w:szCs w:val="20"/>
          <w:color w:val="auto"/>
        </w:rPr>
      </w:pPr>
      <w:r>
        <w:rPr>
          <w:rFonts w:ascii="Arial" w:cs="Arial" w:eastAsia="Arial" w:hAnsi="Arial"/>
          <w:sz w:val="16"/>
          <w:szCs w:val="16"/>
          <w:color w:val="auto"/>
        </w:rPr>
        <w:t>The Committee also determined final payout levels for performance share awards granted in fiscal 2019 with a performance cycle ending at the end of fiscal 2021, which were conditioned on TSR performance relative to a peer group of similar industrial companies. For the three-year performance period, Air Products delivered a cumulative TSR of 67% and the resultant TSR percentile rank was 62%. The payout metrics and calculation methodology are described on page 39-40.</w:t>
      </w:r>
    </w:p>
    <w:p>
      <w:pPr>
        <w:spacing w:after="0" w:line="151" w:lineRule="exact"/>
        <w:rPr>
          <w:sz w:val="20"/>
          <w:szCs w:val="20"/>
          <w:color w:val="auto"/>
        </w:rPr>
      </w:pPr>
    </w:p>
    <w:p>
      <w:pPr>
        <w:jc w:val="both"/>
        <w:ind w:right="240"/>
        <w:spacing w:after="0" w:line="248" w:lineRule="auto"/>
        <w:rPr>
          <w:sz w:val="20"/>
          <w:szCs w:val="20"/>
          <w:color w:val="auto"/>
        </w:rPr>
      </w:pPr>
      <w:r>
        <w:rPr>
          <w:rFonts w:ascii="Arial" w:cs="Arial" w:eastAsia="Arial" w:hAnsi="Arial"/>
          <w:sz w:val="16"/>
          <w:szCs w:val="16"/>
          <w:color w:val="auto"/>
        </w:rPr>
        <w:t>Below is the Equilar Inc. Pay for Performance Profile for the 2018-2020 reported periods comparing Air Products’ CEO compensation and TSR to that of the members of the S&amp;P 500 Basic Materials Sector for the past three years (reflecting TSR for calendar years 2018-2020) and Summary Compensation Table total compensation for CEOs and CEO ISS Realizable Pay for fiscal years ending with or within calendar years 2018-2020.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6263640" cy="305117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263640" cy="3051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7155180" cy="209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009A4B"/>
        </w:rPr>
        <w:t>Shareholder Feedback</w:t>
      </w:r>
    </w:p>
    <w:p>
      <w:pPr>
        <w:spacing w:after="0" w:line="219"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Following the 2021 Annual Meeting of Shareholders, the Committee reviewed the results of the shareholder advisory vote on executive officer compensation. With approximately 94.55% of votes cast in favor of approval, the Committee determined that the great majority of shareholders were satisfied with our executive compensation program.</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color w:val="009A4B"/>
        </w:rPr>
        <w:t>Compensation Governance Best Practices</w:t>
      </w:r>
    </w:p>
    <w:p>
      <w:pPr>
        <w:spacing w:after="0" w:line="219" w:lineRule="exact"/>
        <w:rPr>
          <w:sz w:val="20"/>
          <w:szCs w:val="20"/>
          <w:color w:val="auto"/>
        </w:rPr>
      </w:pPr>
    </w:p>
    <w:p>
      <w:pPr>
        <w:ind w:right="260"/>
        <w:spacing w:after="0" w:line="248" w:lineRule="auto"/>
        <w:rPr>
          <w:sz w:val="20"/>
          <w:szCs w:val="20"/>
          <w:color w:val="auto"/>
        </w:rPr>
      </w:pPr>
      <w:r>
        <w:rPr>
          <w:rFonts w:ascii="Arial" w:cs="Arial" w:eastAsia="Arial" w:hAnsi="Arial"/>
          <w:sz w:val="16"/>
          <w:szCs w:val="16"/>
          <w:color w:val="auto"/>
        </w:rPr>
        <w:t>The Management Development and Compensation Committee recognizes that shareholders want assurance that the processes for determining and paying executive officer compensation reflect thoughtful stewardship of the Company’s resources. The Committee has adopted the following practices, which demonstrate its commitment to this principle: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7134225" cy="32131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34225" cy="321310"/>
                    </a:xfrm>
                    <a:prstGeom prst="rect">
                      <a:avLst/>
                    </a:prstGeom>
                    <a:noFill/>
                  </pic:spPr>
                </pic:pic>
              </a:graphicData>
            </a:graphic>
          </wp:anchor>
        </w:drawing>
      </w:r>
    </w:p>
    <w:p>
      <w:pPr>
        <w:spacing w:after="0" w:line="344"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00A4E4"/>
        </w:rPr>
        <w:t xml:space="preserve">COMPENSATION GOVERNANCE HIGHLIGHTS </w:t>
      </w:r>
      <w:r>
        <w:rPr>
          <w:sz w:val="1"/>
          <w:szCs w:val="1"/>
          <w:color w:val="auto"/>
        </w:rPr>
        <w:drawing>
          <wp:inline distT="0" distB="0" distL="0" distR="0">
            <wp:extent cx="4530725" cy="160655"/>
            <wp:effectExtent l="0" t="0" r="0" b="0"/>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4530725" cy="16065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7134225" cy="167386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34225" cy="1673860"/>
                    </a:xfrm>
                    <a:prstGeom prst="rect">
                      <a:avLst/>
                    </a:prstGeom>
                    <a:noFill/>
                  </pic:spPr>
                </pic:pic>
              </a:graphicData>
            </a:graphic>
          </wp:anchor>
        </w:drawing>
      </w:r>
    </w:p>
    <w:p>
      <w:pPr>
        <w:spacing w:after="0" w:line="6" w:lineRule="exact"/>
        <w:rPr>
          <w:sz w:val="20"/>
          <w:szCs w:val="20"/>
          <w:color w:val="auto"/>
        </w:rPr>
      </w:pPr>
    </w:p>
    <w:p>
      <w:pPr>
        <w:ind w:left="160"/>
        <w:spacing w:after="0"/>
        <w:rPr>
          <w:sz w:val="20"/>
          <w:szCs w:val="20"/>
          <w:color w:val="auto"/>
        </w:rPr>
      </w:pPr>
      <w:r>
        <w:rPr>
          <w:sz w:val="1"/>
          <w:szCs w:val="1"/>
          <w:color w:val="auto"/>
        </w:rPr>
        <w:drawing>
          <wp:inline distT="0" distB="0" distL="0" distR="0">
            <wp:extent cx="76200" cy="67310"/>
            <wp:effectExtent l="0" t="0" r="0" b="0"/>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6200" cy="67310"/>
                    </a:xfrm>
                    <a:prstGeom prst="rect">
                      <a:avLst/>
                    </a:prstGeom>
                    <a:noFill/>
                    <a:ln>
                      <a:noFill/>
                    </a:ln>
                  </pic:spPr>
                </pic:pic>
              </a:graphicData>
            </a:graphic>
          </wp:inline>
        </w:drawing>
      </w:r>
      <w:r>
        <w:rPr>
          <w:rFonts w:ascii="Arial" w:cs="Arial" w:eastAsia="Arial" w:hAnsi="Arial"/>
          <w:sz w:val="18"/>
          <w:szCs w:val="18"/>
          <w:color w:val="auto"/>
        </w:rPr>
        <w:t xml:space="preserve"> Independent directors make final compensation decisions pertaining to executive officers.</w:t>
      </w:r>
    </w:p>
    <w:p>
      <w:pPr>
        <w:spacing w:after="0" w:line="46" w:lineRule="exact"/>
        <w:rPr>
          <w:sz w:val="20"/>
          <w:szCs w:val="20"/>
          <w:color w:val="auto"/>
        </w:rPr>
      </w:pPr>
    </w:p>
    <w:p>
      <w:pPr>
        <w:ind w:left="160"/>
        <w:spacing w:after="0"/>
        <w:rPr>
          <w:sz w:val="20"/>
          <w:szCs w:val="20"/>
          <w:color w:val="auto"/>
        </w:rPr>
      </w:pPr>
      <w:r>
        <w:rPr>
          <w:sz w:val="1"/>
          <w:szCs w:val="1"/>
          <w:color w:val="auto"/>
        </w:rPr>
        <w:drawing>
          <wp:inline distT="0" distB="0" distL="0" distR="0">
            <wp:extent cx="76200" cy="67310"/>
            <wp:effectExtent l="0" t="0" r="0" b="0"/>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6200" cy="67310"/>
                    </a:xfrm>
                    <a:prstGeom prst="rect">
                      <a:avLst/>
                    </a:prstGeom>
                    <a:noFill/>
                    <a:ln>
                      <a:noFill/>
                    </a:ln>
                  </pic:spPr>
                </pic:pic>
              </a:graphicData>
            </a:graphic>
          </wp:inline>
        </w:drawing>
      </w:r>
      <w:r>
        <w:rPr>
          <w:rFonts w:ascii="Arial" w:cs="Arial" w:eastAsia="Arial" w:hAnsi="Arial"/>
          <w:sz w:val="18"/>
          <w:szCs w:val="18"/>
          <w:color w:val="auto"/>
        </w:rPr>
        <w:t xml:space="preserve"> The Committee is advised by an independent compensation consultant.</w:t>
      </w:r>
    </w:p>
    <w:p>
      <w:pPr>
        <w:spacing w:after="0" w:line="46" w:lineRule="exact"/>
        <w:rPr>
          <w:sz w:val="20"/>
          <w:szCs w:val="20"/>
          <w:color w:val="auto"/>
        </w:rPr>
      </w:pPr>
    </w:p>
    <w:p>
      <w:pPr>
        <w:ind w:left="160"/>
        <w:spacing w:after="0"/>
        <w:rPr>
          <w:sz w:val="20"/>
          <w:szCs w:val="20"/>
          <w:color w:val="auto"/>
        </w:rPr>
      </w:pPr>
      <w:r>
        <w:rPr>
          <w:sz w:val="1"/>
          <w:szCs w:val="1"/>
          <w:color w:val="auto"/>
        </w:rPr>
        <w:drawing>
          <wp:inline distT="0" distB="0" distL="0" distR="0">
            <wp:extent cx="76200" cy="67310"/>
            <wp:effectExtent l="0" t="0" r="0" b="0"/>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6200" cy="67310"/>
                    </a:xfrm>
                    <a:prstGeom prst="rect">
                      <a:avLst/>
                    </a:prstGeom>
                    <a:noFill/>
                    <a:ln>
                      <a:noFill/>
                    </a:ln>
                  </pic:spPr>
                </pic:pic>
              </a:graphicData>
            </a:graphic>
          </wp:inline>
        </w:drawing>
      </w:r>
      <w:r>
        <w:rPr>
          <w:rFonts w:ascii="Arial" w:cs="Arial" w:eastAsia="Arial" w:hAnsi="Arial"/>
          <w:sz w:val="18"/>
          <w:szCs w:val="18"/>
          <w:color w:val="auto"/>
        </w:rPr>
        <w:t xml:space="preserve"> Executive sessions are held at all Board and Committee meetings.</w:t>
      </w:r>
    </w:p>
    <w:p>
      <w:pPr>
        <w:spacing w:after="0" w:line="46" w:lineRule="exact"/>
        <w:rPr>
          <w:sz w:val="20"/>
          <w:szCs w:val="20"/>
          <w:color w:val="auto"/>
        </w:rPr>
      </w:pPr>
    </w:p>
    <w:p>
      <w:pPr>
        <w:ind w:left="160"/>
        <w:spacing w:after="0"/>
        <w:rPr>
          <w:sz w:val="20"/>
          <w:szCs w:val="20"/>
          <w:color w:val="auto"/>
        </w:rPr>
      </w:pPr>
      <w:r>
        <w:rPr>
          <w:sz w:val="1"/>
          <w:szCs w:val="1"/>
          <w:color w:val="auto"/>
        </w:rPr>
        <w:drawing>
          <wp:inline distT="0" distB="0" distL="0" distR="0">
            <wp:extent cx="76200" cy="67310"/>
            <wp:effectExtent l="0" t="0" r="0" b="0"/>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6200" cy="67310"/>
                    </a:xfrm>
                    <a:prstGeom prst="rect">
                      <a:avLst/>
                    </a:prstGeom>
                    <a:noFill/>
                    <a:ln>
                      <a:noFill/>
                    </a:ln>
                  </pic:spPr>
                </pic:pic>
              </a:graphicData>
            </a:graphic>
          </wp:inline>
        </w:drawing>
      </w:r>
      <w:r>
        <w:rPr>
          <w:rFonts w:ascii="Arial" w:cs="Arial" w:eastAsia="Arial" w:hAnsi="Arial"/>
          <w:sz w:val="18"/>
          <w:szCs w:val="18"/>
          <w:color w:val="auto"/>
        </w:rPr>
        <w:t xml:space="preserve"> Compensation is targeted at median for similar industrial companies.</w:t>
      </w:r>
    </w:p>
    <w:p>
      <w:pPr>
        <w:spacing w:after="0" w:line="46" w:lineRule="exact"/>
        <w:rPr>
          <w:sz w:val="20"/>
          <w:szCs w:val="20"/>
          <w:color w:val="auto"/>
        </w:rPr>
      </w:pPr>
    </w:p>
    <w:p>
      <w:pPr>
        <w:ind w:left="160"/>
        <w:spacing w:after="0"/>
        <w:rPr>
          <w:sz w:val="20"/>
          <w:szCs w:val="20"/>
          <w:color w:val="auto"/>
        </w:rPr>
      </w:pPr>
      <w:r>
        <w:rPr>
          <w:sz w:val="1"/>
          <w:szCs w:val="1"/>
          <w:color w:val="auto"/>
        </w:rPr>
        <w:drawing>
          <wp:inline distT="0" distB="0" distL="0" distR="0">
            <wp:extent cx="76200" cy="67310"/>
            <wp:effectExtent l="0" t="0" r="0" b="0"/>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6200" cy="67310"/>
                    </a:xfrm>
                    <a:prstGeom prst="rect">
                      <a:avLst/>
                    </a:prstGeom>
                    <a:noFill/>
                    <a:ln>
                      <a:noFill/>
                    </a:ln>
                  </pic:spPr>
                </pic:pic>
              </a:graphicData>
            </a:graphic>
          </wp:inline>
        </w:drawing>
      </w:r>
      <w:r>
        <w:rPr>
          <w:rFonts w:ascii="Arial" w:cs="Arial" w:eastAsia="Arial" w:hAnsi="Arial"/>
          <w:sz w:val="18"/>
          <w:szCs w:val="18"/>
          <w:color w:val="auto"/>
        </w:rPr>
        <w:t xml:space="preserve"> Stringent stock ownership guidelines are maintained for directors and executive officers.</w:t>
      </w:r>
    </w:p>
    <w:p>
      <w:pPr>
        <w:spacing w:after="0" w:line="46" w:lineRule="exact"/>
        <w:rPr>
          <w:sz w:val="20"/>
          <w:szCs w:val="20"/>
          <w:color w:val="auto"/>
        </w:rPr>
      </w:pPr>
    </w:p>
    <w:p>
      <w:pPr>
        <w:ind w:left="160"/>
        <w:spacing w:after="0"/>
        <w:rPr>
          <w:sz w:val="20"/>
          <w:szCs w:val="20"/>
          <w:color w:val="auto"/>
        </w:rPr>
      </w:pPr>
      <w:r>
        <w:rPr>
          <w:sz w:val="1"/>
          <w:szCs w:val="1"/>
          <w:color w:val="auto"/>
        </w:rPr>
        <w:drawing>
          <wp:inline distT="0" distB="0" distL="0" distR="0">
            <wp:extent cx="76200" cy="67310"/>
            <wp:effectExtent l="0" t="0" r="0" b="0"/>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6200" cy="67310"/>
                    </a:xfrm>
                    <a:prstGeom prst="rect">
                      <a:avLst/>
                    </a:prstGeom>
                    <a:noFill/>
                    <a:ln>
                      <a:noFill/>
                    </a:ln>
                  </pic:spPr>
                </pic:pic>
              </a:graphicData>
            </a:graphic>
          </wp:inline>
        </w:drawing>
      </w:r>
      <w:r>
        <w:rPr>
          <w:rFonts w:ascii="Arial" w:cs="Arial" w:eastAsia="Arial" w:hAnsi="Arial"/>
          <w:sz w:val="18"/>
          <w:szCs w:val="18"/>
          <w:color w:val="auto"/>
        </w:rPr>
        <w:t xml:space="preserve"> Executive officers and directors are prohibited from hedging or pledging Company stock.</w:t>
      </w:r>
    </w:p>
    <w:p>
      <w:pPr>
        <w:spacing w:after="0" w:line="46" w:lineRule="exact"/>
        <w:rPr>
          <w:sz w:val="20"/>
          <w:szCs w:val="20"/>
          <w:color w:val="auto"/>
        </w:rPr>
      </w:pPr>
    </w:p>
    <w:p>
      <w:pPr>
        <w:ind w:left="160"/>
        <w:spacing w:after="0"/>
        <w:rPr>
          <w:sz w:val="20"/>
          <w:szCs w:val="20"/>
          <w:color w:val="auto"/>
        </w:rPr>
      </w:pPr>
      <w:r>
        <w:rPr>
          <w:sz w:val="1"/>
          <w:szCs w:val="1"/>
          <w:color w:val="auto"/>
        </w:rPr>
        <w:drawing>
          <wp:inline distT="0" distB="0" distL="0" distR="0">
            <wp:extent cx="76200" cy="67310"/>
            <wp:effectExtent l="0" t="0" r="0" b="0"/>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6200" cy="67310"/>
                    </a:xfrm>
                    <a:prstGeom prst="rect">
                      <a:avLst/>
                    </a:prstGeom>
                    <a:noFill/>
                    <a:ln>
                      <a:noFill/>
                    </a:ln>
                  </pic:spPr>
                </pic:pic>
              </a:graphicData>
            </a:graphic>
          </wp:inline>
        </w:drawing>
      </w:r>
      <w:r>
        <w:rPr>
          <w:rFonts w:ascii="Arial" w:cs="Arial" w:eastAsia="Arial" w:hAnsi="Arial"/>
          <w:sz w:val="18"/>
          <w:szCs w:val="18"/>
          <w:color w:val="auto"/>
        </w:rPr>
        <w:t xml:space="preserve"> Performance goals and formulas are consistently administered.</w:t>
      </w:r>
    </w:p>
    <w:p>
      <w:pPr>
        <w:spacing w:after="0" w:line="46" w:lineRule="exact"/>
        <w:rPr>
          <w:sz w:val="20"/>
          <w:szCs w:val="20"/>
          <w:color w:val="auto"/>
        </w:rPr>
      </w:pPr>
    </w:p>
    <w:p>
      <w:pPr>
        <w:ind w:left="160"/>
        <w:spacing w:after="0"/>
        <w:rPr>
          <w:sz w:val="20"/>
          <w:szCs w:val="20"/>
          <w:color w:val="auto"/>
        </w:rPr>
      </w:pPr>
      <w:r>
        <w:rPr>
          <w:sz w:val="1"/>
          <w:szCs w:val="1"/>
          <w:color w:val="auto"/>
        </w:rPr>
        <w:drawing>
          <wp:inline distT="0" distB="0" distL="0" distR="0">
            <wp:extent cx="76200" cy="67310"/>
            <wp:effectExtent l="0" t="0" r="0" b="0"/>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6200" cy="67310"/>
                    </a:xfrm>
                    <a:prstGeom prst="rect">
                      <a:avLst/>
                    </a:prstGeom>
                    <a:noFill/>
                    <a:ln>
                      <a:noFill/>
                    </a:ln>
                  </pic:spPr>
                </pic:pic>
              </a:graphicData>
            </a:graphic>
          </wp:inline>
        </w:drawing>
      </w:r>
      <w:r>
        <w:rPr>
          <w:rFonts w:ascii="Arial" w:cs="Arial" w:eastAsia="Arial" w:hAnsi="Arial"/>
          <w:sz w:val="18"/>
          <w:szCs w:val="18"/>
          <w:color w:val="auto"/>
        </w:rPr>
        <w:t xml:space="preserve"> Dilution and burn rate relative to peers are reviewed annually.</w:t>
      </w:r>
    </w:p>
    <w:p>
      <w:pPr>
        <w:spacing w:after="0" w:line="46" w:lineRule="exact"/>
        <w:rPr>
          <w:sz w:val="20"/>
          <w:szCs w:val="20"/>
          <w:color w:val="auto"/>
        </w:rPr>
      </w:pPr>
    </w:p>
    <w:p>
      <w:pPr>
        <w:ind w:left="160"/>
        <w:spacing w:after="0"/>
        <w:rPr>
          <w:sz w:val="20"/>
          <w:szCs w:val="20"/>
          <w:color w:val="auto"/>
        </w:rPr>
      </w:pPr>
      <w:r>
        <w:rPr>
          <w:sz w:val="1"/>
          <w:szCs w:val="1"/>
          <w:color w:val="auto"/>
        </w:rPr>
        <w:drawing>
          <wp:inline distT="0" distB="0" distL="0" distR="0">
            <wp:extent cx="76200" cy="67310"/>
            <wp:effectExtent l="0" t="0" r="0" b="0"/>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6200" cy="67310"/>
                    </a:xfrm>
                    <a:prstGeom prst="rect">
                      <a:avLst/>
                    </a:prstGeom>
                    <a:noFill/>
                    <a:ln>
                      <a:noFill/>
                    </a:ln>
                  </pic:spPr>
                </pic:pic>
              </a:graphicData>
            </a:graphic>
          </wp:inline>
        </w:drawing>
      </w:r>
      <w:r>
        <w:rPr>
          <w:rFonts w:ascii="Arial" w:cs="Arial" w:eastAsia="Arial" w:hAnsi="Arial"/>
          <w:sz w:val="18"/>
          <w:szCs w:val="18"/>
          <w:color w:val="auto"/>
        </w:rPr>
        <w:t xml:space="preserve"> Change in control arrangements require a double-trigger for vesting.</w:t>
      </w:r>
    </w:p>
    <w:p>
      <w:pPr>
        <w:spacing w:after="0" w:line="46" w:lineRule="exact"/>
        <w:rPr>
          <w:sz w:val="20"/>
          <w:szCs w:val="20"/>
          <w:color w:val="auto"/>
        </w:rPr>
      </w:pPr>
    </w:p>
    <w:p>
      <w:pPr>
        <w:ind w:left="160"/>
        <w:spacing w:after="0"/>
        <w:rPr>
          <w:sz w:val="20"/>
          <w:szCs w:val="20"/>
          <w:color w:val="auto"/>
        </w:rPr>
      </w:pPr>
      <w:r>
        <w:rPr>
          <w:sz w:val="1"/>
          <w:szCs w:val="1"/>
          <w:color w:val="auto"/>
        </w:rPr>
        <w:drawing>
          <wp:inline distT="0" distB="0" distL="0" distR="0">
            <wp:extent cx="76200" cy="67310"/>
            <wp:effectExtent l="0" t="0" r="0" b="0"/>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6200" cy="67310"/>
                    </a:xfrm>
                    <a:prstGeom prst="rect">
                      <a:avLst/>
                    </a:prstGeom>
                    <a:noFill/>
                    <a:ln>
                      <a:noFill/>
                    </a:ln>
                  </pic:spPr>
                </pic:pic>
              </a:graphicData>
            </a:graphic>
          </wp:inline>
        </w:drawing>
      </w:r>
      <w:r>
        <w:rPr>
          <w:rFonts w:ascii="Arial" w:cs="Arial" w:eastAsia="Arial" w:hAnsi="Arial"/>
          <w:sz w:val="18"/>
          <w:szCs w:val="18"/>
          <w:color w:val="auto"/>
        </w:rPr>
        <w:t xml:space="preserve"> A clawback policy is in place to deter executive officer misconduct and reclaim certain awards and incentives.</w:t>
      </w:r>
    </w:p>
    <w:p>
      <w:pPr>
        <w:spacing w:after="0" w:line="26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7155180" cy="209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sz w:val="1"/>
          <w:szCs w:val="1"/>
          <w:color w:val="auto"/>
        </w:rPr>
        <w:drawing>
          <wp:inline distT="0" distB="0" distL="0" distR="0">
            <wp:extent cx="287655" cy="287655"/>
            <wp:effectExtent l="0" t="0" r="0" b="0"/>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87655" cy="287655"/>
                    </a:xfrm>
                    <a:prstGeom prst="rect">
                      <a:avLst/>
                    </a:prstGeom>
                    <a:noFill/>
                    <a:ln>
                      <a:noFill/>
                    </a:ln>
                  </pic:spPr>
                </pic:pic>
              </a:graphicData>
            </a:graphic>
          </wp:inline>
        </w:drawing>
      </w:r>
      <w:r>
        <w:rPr>
          <w:rFonts w:ascii="Arial" w:cs="Arial" w:eastAsia="Arial" w:hAnsi="Arial"/>
          <w:sz w:val="28"/>
          <w:szCs w:val="28"/>
          <w:color w:val="009A4B"/>
        </w:rPr>
        <w:t xml:space="preserve"> Fiscal 2021 Executive Officer Compensation Program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-7620</wp:posOffset>
            </wp:positionV>
            <wp:extent cx="82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401320</wp:posOffset>
            </wp:positionH>
            <wp:positionV relativeFrom="paragraph">
              <wp:posOffset>-7620</wp:posOffset>
            </wp:positionV>
            <wp:extent cx="825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418465</wp:posOffset>
            </wp:positionH>
            <wp:positionV relativeFrom="paragraph">
              <wp:posOffset>-7620</wp:posOffset>
            </wp:positionV>
            <wp:extent cx="8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-7620</wp:posOffset>
            </wp:positionV>
            <wp:extent cx="82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452120</wp:posOffset>
            </wp:positionH>
            <wp:positionV relativeFrom="paragraph">
              <wp:posOffset>-7620</wp:posOffset>
            </wp:positionV>
            <wp:extent cx="82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469265</wp:posOffset>
            </wp:positionH>
            <wp:positionV relativeFrom="paragraph">
              <wp:posOffset>-7620</wp:posOffset>
            </wp:positionV>
            <wp:extent cx="82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485775</wp:posOffset>
            </wp:positionH>
            <wp:positionV relativeFrom="paragraph">
              <wp:posOffset>-7620</wp:posOffset>
            </wp:positionV>
            <wp:extent cx="82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502920</wp:posOffset>
            </wp:positionH>
            <wp:positionV relativeFrom="paragraph">
              <wp:posOffset>-7620</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520065</wp:posOffset>
            </wp:positionH>
            <wp:positionV relativeFrom="paragraph">
              <wp:posOffset>-7620</wp:posOffset>
            </wp:positionV>
            <wp:extent cx="82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-7620</wp:posOffset>
            </wp:positionV>
            <wp:extent cx="8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-7620</wp:posOffset>
            </wp:positionV>
            <wp:extent cx="82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-7620</wp:posOffset>
            </wp:positionV>
            <wp:extent cx="82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-7620</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-7620</wp:posOffset>
            </wp:positionV>
            <wp:extent cx="82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621030</wp:posOffset>
            </wp:positionH>
            <wp:positionV relativeFrom="paragraph">
              <wp:posOffset>-7620</wp:posOffset>
            </wp:positionV>
            <wp:extent cx="825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638175</wp:posOffset>
            </wp:positionH>
            <wp:positionV relativeFrom="paragraph">
              <wp:posOffset>-7620</wp:posOffset>
            </wp:positionV>
            <wp:extent cx="82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-7620</wp:posOffset>
            </wp:positionV>
            <wp:extent cx="8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-7620</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-7620</wp:posOffset>
            </wp:positionV>
            <wp:extent cx="82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-7620</wp:posOffset>
            </wp:positionV>
            <wp:extent cx="82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722630</wp:posOffset>
            </wp:positionH>
            <wp:positionV relativeFrom="paragraph">
              <wp:posOffset>-7620</wp:posOffset>
            </wp:positionV>
            <wp:extent cx="82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739775</wp:posOffset>
            </wp:positionH>
            <wp:positionV relativeFrom="paragraph">
              <wp:posOffset>-7620</wp:posOffset>
            </wp:positionV>
            <wp:extent cx="82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-7620</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773430</wp:posOffset>
            </wp:positionH>
            <wp:positionV relativeFrom="paragraph">
              <wp:posOffset>-7620</wp:posOffset>
            </wp:positionV>
            <wp:extent cx="8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789940</wp:posOffset>
            </wp:positionH>
            <wp:positionV relativeFrom="paragraph">
              <wp:posOffset>-7620</wp:posOffset>
            </wp:positionV>
            <wp:extent cx="8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-7620</wp:posOffset>
            </wp:positionV>
            <wp:extent cx="82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824230</wp:posOffset>
            </wp:positionH>
            <wp:positionV relativeFrom="paragraph">
              <wp:posOffset>-7620</wp:posOffset>
            </wp:positionV>
            <wp:extent cx="825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840740</wp:posOffset>
            </wp:positionH>
            <wp:positionV relativeFrom="paragraph">
              <wp:posOffset>-7620</wp:posOffset>
            </wp:positionV>
            <wp:extent cx="8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857885</wp:posOffset>
            </wp:positionH>
            <wp:positionV relativeFrom="paragraph">
              <wp:posOffset>-7620</wp:posOffset>
            </wp:positionV>
            <wp:extent cx="82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875030</wp:posOffset>
            </wp:positionH>
            <wp:positionV relativeFrom="paragraph">
              <wp:posOffset>-7620</wp:posOffset>
            </wp:positionV>
            <wp:extent cx="82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891540</wp:posOffset>
            </wp:positionH>
            <wp:positionV relativeFrom="paragraph">
              <wp:posOffset>-7620</wp:posOffset>
            </wp:positionV>
            <wp:extent cx="82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-7620</wp:posOffset>
            </wp:positionV>
            <wp:extent cx="82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925195</wp:posOffset>
            </wp:positionH>
            <wp:positionV relativeFrom="paragraph">
              <wp:posOffset>-7620</wp:posOffset>
            </wp:positionV>
            <wp:extent cx="82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942340</wp:posOffset>
            </wp:positionH>
            <wp:positionV relativeFrom="paragraph">
              <wp:posOffset>-7620</wp:posOffset>
            </wp:positionV>
            <wp:extent cx="82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-7620</wp:posOffset>
            </wp:positionV>
            <wp:extent cx="82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975995</wp:posOffset>
            </wp:positionH>
            <wp:positionV relativeFrom="paragraph">
              <wp:posOffset>-7620</wp:posOffset>
            </wp:positionV>
            <wp:extent cx="8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993140</wp:posOffset>
            </wp:positionH>
            <wp:positionV relativeFrom="paragraph">
              <wp:posOffset>-7620</wp:posOffset>
            </wp:positionV>
            <wp:extent cx="825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1010285</wp:posOffset>
            </wp:positionH>
            <wp:positionV relativeFrom="paragraph">
              <wp:posOffset>-7620</wp:posOffset>
            </wp:positionV>
            <wp:extent cx="82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1026795</wp:posOffset>
            </wp:positionH>
            <wp:positionV relativeFrom="paragraph">
              <wp:posOffset>-7620</wp:posOffset>
            </wp:positionV>
            <wp:extent cx="82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-7620</wp:posOffset>
            </wp:positionV>
            <wp:extent cx="82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1060450</wp:posOffset>
            </wp:positionH>
            <wp:positionV relativeFrom="paragraph">
              <wp:posOffset>-7620</wp:posOffset>
            </wp:positionV>
            <wp:extent cx="82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-7620</wp:posOffset>
            </wp:positionV>
            <wp:extent cx="8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-7620</wp:posOffset>
            </wp:positionV>
            <wp:extent cx="825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-7620</wp:posOffset>
            </wp:positionV>
            <wp:extent cx="82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-7620</wp:posOffset>
            </wp:positionV>
            <wp:extent cx="82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-7620</wp:posOffset>
            </wp:positionV>
            <wp:extent cx="8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1162050</wp:posOffset>
            </wp:positionH>
            <wp:positionV relativeFrom="paragraph">
              <wp:posOffset>-7620</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1179195</wp:posOffset>
            </wp:positionH>
            <wp:positionV relativeFrom="paragraph">
              <wp:posOffset>-7620</wp:posOffset>
            </wp:positionV>
            <wp:extent cx="82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1195705</wp:posOffset>
            </wp:positionH>
            <wp:positionV relativeFrom="paragraph">
              <wp:posOffset>-7620</wp:posOffset>
            </wp:positionV>
            <wp:extent cx="825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1212850</wp:posOffset>
            </wp:positionH>
            <wp:positionV relativeFrom="paragraph">
              <wp:posOffset>-7620</wp:posOffset>
            </wp:positionV>
            <wp:extent cx="825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1229995</wp:posOffset>
            </wp:positionH>
            <wp:positionV relativeFrom="paragraph">
              <wp:posOffset>-7620</wp:posOffset>
            </wp:positionV>
            <wp:extent cx="82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-7620</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1263650</wp:posOffset>
            </wp:positionH>
            <wp:positionV relativeFrom="paragraph">
              <wp:posOffset>-7620</wp:posOffset>
            </wp:positionV>
            <wp:extent cx="82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-7620</wp:posOffset>
            </wp:positionV>
            <wp:extent cx="82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-7620</wp:posOffset>
            </wp:positionV>
            <wp:extent cx="825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1314450</wp:posOffset>
            </wp:positionH>
            <wp:positionV relativeFrom="paragraph">
              <wp:posOffset>-7620</wp:posOffset>
            </wp:positionV>
            <wp:extent cx="825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-7620</wp:posOffset>
            </wp:positionV>
            <wp:extent cx="8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1348105</wp:posOffset>
            </wp:positionH>
            <wp:positionV relativeFrom="paragraph">
              <wp:posOffset>-7620</wp:posOffset>
            </wp:positionV>
            <wp:extent cx="82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1365250</wp:posOffset>
            </wp:positionH>
            <wp:positionV relativeFrom="paragraph">
              <wp:posOffset>-7620</wp:posOffset>
            </wp:positionV>
            <wp:extent cx="82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1381760</wp:posOffset>
            </wp:positionH>
            <wp:positionV relativeFrom="paragraph">
              <wp:posOffset>-7620</wp:posOffset>
            </wp:positionV>
            <wp:extent cx="825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1398905</wp:posOffset>
            </wp:positionH>
            <wp:positionV relativeFrom="paragraph">
              <wp:posOffset>-7620</wp:posOffset>
            </wp:positionV>
            <wp:extent cx="825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1416050</wp:posOffset>
            </wp:positionH>
            <wp:positionV relativeFrom="paragraph">
              <wp:posOffset>-7620</wp:posOffset>
            </wp:positionV>
            <wp:extent cx="825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1432560</wp:posOffset>
            </wp:positionH>
            <wp:positionV relativeFrom="paragraph">
              <wp:posOffset>-7620</wp:posOffset>
            </wp:positionV>
            <wp:extent cx="82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1449705</wp:posOffset>
            </wp:positionH>
            <wp:positionV relativeFrom="paragraph">
              <wp:posOffset>-7620</wp:posOffset>
            </wp:positionV>
            <wp:extent cx="825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1466215</wp:posOffset>
            </wp:positionH>
            <wp:positionV relativeFrom="paragraph">
              <wp:posOffset>-7620</wp:posOffset>
            </wp:positionV>
            <wp:extent cx="825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1483360</wp:posOffset>
            </wp:positionH>
            <wp:positionV relativeFrom="paragraph">
              <wp:posOffset>-7620</wp:posOffset>
            </wp:positionV>
            <wp:extent cx="825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1500505</wp:posOffset>
            </wp:positionH>
            <wp:positionV relativeFrom="paragraph">
              <wp:posOffset>-7620</wp:posOffset>
            </wp:positionV>
            <wp:extent cx="82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1517015</wp:posOffset>
            </wp:positionH>
            <wp:positionV relativeFrom="paragraph">
              <wp:posOffset>-7620</wp:posOffset>
            </wp:positionV>
            <wp:extent cx="825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1534160</wp:posOffset>
            </wp:positionH>
            <wp:positionV relativeFrom="paragraph">
              <wp:posOffset>-7620</wp:posOffset>
            </wp:positionV>
            <wp:extent cx="825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1551305</wp:posOffset>
            </wp:positionH>
            <wp:positionV relativeFrom="paragraph">
              <wp:posOffset>-7620</wp:posOffset>
            </wp:positionV>
            <wp:extent cx="825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1567815</wp:posOffset>
            </wp:positionH>
            <wp:positionV relativeFrom="paragraph">
              <wp:posOffset>-7620</wp:posOffset>
            </wp:positionV>
            <wp:extent cx="825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1584960</wp:posOffset>
            </wp:positionH>
            <wp:positionV relativeFrom="paragraph">
              <wp:posOffset>-7620</wp:posOffset>
            </wp:positionV>
            <wp:extent cx="825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1601470</wp:posOffset>
            </wp:positionH>
            <wp:positionV relativeFrom="paragraph">
              <wp:posOffset>-7620</wp:posOffset>
            </wp:positionV>
            <wp:extent cx="825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1618615</wp:posOffset>
            </wp:positionH>
            <wp:positionV relativeFrom="paragraph">
              <wp:posOffset>-7620</wp:posOffset>
            </wp:positionV>
            <wp:extent cx="82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1635760</wp:posOffset>
            </wp:positionH>
            <wp:positionV relativeFrom="paragraph">
              <wp:posOffset>-7620</wp:posOffset>
            </wp:positionV>
            <wp:extent cx="825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1652270</wp:posOffset>
            </wp:positionH>
            <wp:positionV relativeFrom="paragraph">
              <wp:posOffset>-7620</wp:posOffset>
            </wp:positionV>
            <wp:extent cx="825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1669415</wp:posOffset>
            </wp:positionH>
            <wp:positionV relativeFrom="paragraph">
              <wp:posOffset>-7620</wp:posOffset>
            </wp:positionV>
            <wp:extent cx="825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-7620</wp:posOffset>
            </wp:positionV>
            <wp:extent cx="825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-7620</wp:posOffset>
            </wp:positionV>
            <wp:extent cx="825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-7620</wp:posOffset>
            </wp:positionV>
            <wp:extent cx="825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-7620</wp:posOffset>
            </wp:positionV>
            <wp:extent cx="825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-7620</wp:posOffset>
            </wp:positionV>
            <wp:extent cx="82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-7620</wp:posOffset>
            </wp:positionV>
            <wp:extent cx="825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-7620</wp:posOffset>
            </wp:positionV>
            <wp:extent cx="825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1804670</wp:posOffset>
            </wp:positionH>
            <wp:positionV relativeFrom="paragraph">
              <wp:posOffset>-7620</wp:posOffset>
            </wp:positionV>
            <wp:extent cx="825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-7620</wp:posOffset>
            </wp:positionV>
            <wp:extent cx="825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-7620</wp:posOffset>
            </wp:positionV>
            <wp:extent cx="82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-7620</wp:posOffset>
            </wp:positionV>
            <wp:extent cx="825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1871980</wp:posOffset>
            </wp:positionH>
            <wp:positionV relativeFrom="paragraph">
              <wp:posOffset>-7620</wp:posOffset>
            </wp:positionV>
            <wp:extent cx="825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1889125</wp:posOffset>
            </wp:positionH>
            <wp:positionV relativeFrom="paragraph">
              <wp:posOffset>-7620</wp:posOffset>
            </wp:positionV>
            <wp:extent cx="825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1906270</wp:posOffset>
            </wp:positionH>
            <wp:positionV relativeFrom="paragraph">
              <wp:posOffset>-7620</wp:posOffset>
            </wp:positionV>
            <wp:extent cx="825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1922780</wp:posOffset>
            </wp:positionH>
            <wp:positionV relativeFrom="paragraph">
              <wp:posOffset>-7620</wp:posOffset>
            </wp:positionV>
            <wp:extent cx="825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1939925</wp:posOffset>
            </wp:positionH>
            <wp:positionV relativeFrom="paragraph">
              <wp:posOffset>-7620</wp:posOffset>
            </wp:positionV>
            <wp:extent cx="825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1956435</wp:posOffset>
            </wp:positionH>
            <wp:positionV relativeFrom="paragraph">
              <wp:posOffset>-7620</wp:posOffset>
            </wp:positionV>
            <wp:extent cx="825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-7620</wp:posOffset>
            </wp:positionV>
            <wp:extent cx="825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1990725</wp:posOffset>
            </wp:positionH>
            <wp:positionV relativeFrom="paragraph">
              <wp:posOffset>-7620</wp:posOffset>
            </wp:positionV>
            <wp:extent cx="825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2007235</wp:posOffset>
            </wp:positionH>
            <wp:positionV relativeFrom="paragraph">
              <wp:posOffset>-7620</wp:posOffset>
            </wp:positionV>
            <wp:extent cx="825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2024380</wp:posOffset>
            </wp:positionH>
            <wp:positionV relativeFrom="paragraph">
              <wp:posOffset>-7620</wp:posOffset>
            </wp:positionV>
            <wp:extent cx="825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2041525</wp:posOffset>
            </wp:positionH>
            <wp:positionV relativeFrom="paragraph">
              <wp:posOffset>-7620</wp:posOffset>
            </wp:positionV>
            <wp:extent cx="825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2058035</wp:posOffset>
            </wp:positionH>
            <wp:positionV relativeFrom="paragraph">
              <wp:posOffset>-7620</wp:posOffset>
            </wp:positionV>
            <wp:extent cx="825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2075180</wp:posOffset>
            </wp:positionH>
            <wp:positionV relativeFrom="paragraph">
              <wp:posOffset>-7620</wp:posOffset>
            </wp:positionV>
            <wp:extent cx="82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2091690</wp:posOffset>
            </wp:positionH>
            <wp:positionV relativeFrom="paragraph">
              <wp:posOffset>-7620</wp:posOffset>
            </wp:positionV>
            <wp:extent cx="82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2108835</wp:posOffset>
            </wp:positionH>
            <wp:positionV relativeFrom="paragraph">
              <wp:posOffset>-7620</wp:posOffset>
            </wp:positionV>
            <wp:extent cx="825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2125980</wp:posOffset>
            </wp:positionH>
            <wp:positionV relativeFrom="paragraph">
              <wp:posOffset>-7620</wp:posOffset>
            </wp:positionV>
            <wp:extent cx="825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2142490</wp:posOffset>
            </wp:positionH>
            <wp:positionV relativeFrom="paragraph">
              <wp:posOffset>-7620</wp:posOffset>
            </wp:positionV>
            <wp:extent cx="825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2159635</wp:posOffset>
            </wp:positionH>
            <wp:positionV relativeFrom="paragraph">
              <wp:posOffset>-7620</wp:posOffset>
            </wp:positionV>
            <wp:extent cx="825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2176780</wp:posOffset>
            </wp:positionH>
            <wp:positionV relativeFrom="paragraph">
              <wp:posOffset>-7620</wp:posOffset>
            </wp:positionV>
            <wp:extent cx="825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2193290</wp:posOffset>
            </wp:positionH>
            <wp:positionV relativeFrom="paragraph">
              <wp:posOffset>-7620</wp:posOffset>
            </wp:positionV>
            <wp:extent cx="825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2210435</wp:posOffset>
            </wp:positionH>
            <wp:positionV relativeFrom="paragraph">
              <wp:posOffset>-7620</wp:posOffset>
            </wp:positionV>
            <wp:extent cx="825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2226945</wp:posOffset>
            </wp:positionH>
            <wp:positionV relativeFrom="paragraph">
              <wp:posOffset>-7620</wp:posOffset>
            </wp:positionV>
            <wp:extent cx="825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-7620</wp:posOffset>
            </wp:positionV>
            <wp:extent cx="825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2261235</wp:posOffset>
            </wp:positionH>
            <wp:positionV relativeFrom="paragraph">
              <wp:posOffset>-7620</wp:posOffset>
            </wp:positionV>
            <wp:extent cx="825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-7620</wp:posOffset>
            </wp:positionV>
            <wp:extent cx="825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2294890</wp:posOffset>
            </wp:positionH>
            <wp:positionV relativeFrom="paragraph">
              <wp:posOffset>-7620</wp:posOffset>
            </wp:positionV>
            <wp:extent cx="825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2312035</wp:posOffset>
            </wp:positionH>
            <wp:positionV relativeFrom="paragraph">
              <wp:posOffset>-7620</wp:posOffset>
            </wp:positionV>
            <wp:extent cx="825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-7620</wp:posOffset>
            </wp:positionV>
            <wp:extent cx="825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-7620</wp:posOffset>
            </wp:positionV>
            <wp:extent cx="825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-7620</wp:posOffset>
            </wp:positionV>
            <wp:extent cx="825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-7620</wp:posOffset>
            </wp:positionV>
            <wp:extent cx="825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-7620</wp:posOffset>
            </wp:positionV>
            <wp:extent cx="825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-7620</wp:posOffset>
            </wp:positionV>
            <wp:extent cx="825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-7620</wp:posOffset>
            </wp:positionV>
            <wp:extent cx="825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-7620</wp:posOffset>
            </wp:positionV>
            <wp:extent cx="825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-7620</wp:posOffset>
            </wp:positionV>
            <wp:extent cx="825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-7620</wp:posOffset>
            </wp:positionV>
            <wp:extent cx="825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-7620</wp:posOffset>
            </wp:positionV>
            <wp:extent cx="825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2514600</wp:posOffset>
            </wp:positionH>
            <wp:positionV relativeFrom="paragraph">
              <wp:posOffset>-7620</wp:posOffset>
            </wp:positionV>
            <wp:extent cx="825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2531745</wp:posOffset>
            </wp:positionH>
            <wp:positionV relativeFrom="paragraph">
              <wp:posOffset>-7620</wp:posOffset>
            </wp:positionV>
            <wp:extent cx="825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-7620</wp:posOffset>
            </wp:positionV>
            <wp:extent cx="825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2565400</wp:posOffset>
            </wp:positionH>
            <wp:positionV relativeFrom="paragraph">
              <wp:posOffset>-7620</wp:posOffset>
            </wp:positionV>
            <wp:extent cx="825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2582545</wp:posOffset>
            </wp:positionH>
            <wp:positionV relativeFrom="paragraph">
              <wp:posOffset>-7620</wp:posOffset>
            </wp:positionV>
            <wp:extent cx="825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2599055</wp:posOffset>
            </wp:positionH>
            <wp:positionV relativeFrom="paragraph">
              <wp:posOffset>-7620</wp:posOffset>
            </wp:positionV>
            <wp:extent cx="825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2616200</wp:posOffset>
            </wp:positionH>
            <wp:positionV relativeFrom="paragraph">
              <wp:posOffset>-7620</wp:posOffset>
            </wp:positionV>
            <wp:extent cx="825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2632710</wp:posOffset>
            </wp:positionH>
            <wp:positionV relativeFrom="paragraph">
              <wp:posOffset>-7620</wp:posOffset>
            </wp:positionV>
            <wp:extent cx="825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2649855</wp:posOffset>
            </wp:positionH>
            <wp:positionV relativeFrom="paragraph">
              <wp:posOffset>-7620</wp:posOffset>
            </wp:positionV>
            <wp:extent cx="825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2667000</wp:posOffset>
            </wp:positionH>
            <wp:positionV relativeFrom="paragraph">
              <wp:posOffset>-7620</wp:posOffset>
            </wp:positionV>
            <wp:extent cx="825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2683510</wp:posOffset>
            </wp:positionH>
            <wp:positionV relativeFrom="paragraph">
              <wp:posOffset>-7620</wp:posOffset>
            </wp:positionV>
            <wp:extent cx="825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2700655</wp:posOffset>
            </wp:positionH>
            <wp:positionV relativeFrom="paragraph">
              <wp:posOffset>-7620</wp:posOffset>
            </wp:positionV>
            <wp:extent cx="825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2717800</wp:posOffset>
            </wp:positionH>
            <wp:positionV relativeFrom="paragraph">
              <wp:posOffset>-7620</wp:posOffset>
            </wp:positionV>
            <wp:extent cx="825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2734310</wp:posOffset>
            </wp:positionH>
            <wp:positionV relativeFrom="paragraph">
              <wp:posOffset>-7620</wp:posOffset>
            </wp:positionV>
            <wp:extent cx="825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2751455</wp:posOffset>
            </wp:positionH>
            <wp:positionV relativeFrom="paragraph">
              <wp:posOffset>-7620</wp:posOffset>
            </wp:positionV>
            <wp:extent cx="825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2767965</wp:posOffset>
            </wp:positionH>
            <wp:positionV relativeFrom="paragraph">
              <wp:posOffset>-7620</wp:posOffset>
            </wp:positionV>
            <wp:extent cx="825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2785110</wp:posOffset>
            </wp:positionH>
            <wp:positionV relativeFrom="paragraph">
              <wp:posOffset>-7620</wp:posOffset>
            </wp:positionV>
            <wp:extent cx="825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-7620</wp:posOffset>
            </wp:positionV>
            <wp:extent cx="825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2818765</wp:posOffset>
            </wp:positionH>
            <wp:positionV relativeFrom="paragraph">
              <wp:posOffset>-7620</wp:posOffset>
            </wp:positionV>
            <wp:extent cx="825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2835910</wp:posOffset>
            </wp:positionH>
            <wp:positionV relativeFrom="paragraph">
              <wp:posOffset>-7620</wp:posOffset>
            </wp:positionV>
            <wp:extent cx="825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2853055</wp:posOffset>
            </wp:positionH>
            <wp:positionV relativeFrom="paragraph">
              <wp:posOffset>-7620</wp:posOffset>
            </wp:positionV>
            <wp:extent cx="825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-7620</wp:posOffset>
            </wp:positionV>
            <wp:extent cx="825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-7620</wp:posOffset>
            </wp:positionV>
            <wp:extent cx="825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2903220</wp:posOffset>
            </wp:positionH>
            <wp:positionV relativeFrom="paragraph">
              <wp:posOffset>-7620</wp:posOffset>
            </wp:positionV>
            <wp:extent cx="825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2920365</wp:posOffset>
            </wp:positionH>
            <wp:positionV relativeFrom="paragraph">
              <wp:posOffset>-7620</wp:posOffset>
            </wp:positionV>
            <wp:extent cx="825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2937510</wp:posOffset>
            </wp:positionH>
            <wp:positionV relativeFrom="paragraph">
              <wp:posOffset>-7620</wp:posOffset>
            </wp:positionV>
            <wp:extent cx="825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-7620</wp:posOffset>
            </wp:positionV>
            <wp:extent cx="825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-7620</wp:posOffset>
            </wp:positionV>
            <wp:extent cx="825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-7620</wp:posOffset>
            </wp:positionV>
            <wp:extent cx="825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-7620</wp:posOffset>
            </wp:positionV>
            <wp:extent cx="825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-7620</wp:posOffset>
            </wp:positionV>
            <wp:extent cx="825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3038475</wp:posOffset>
            </wp:positionH>
            <wp:positionV relativeFrom="paragraph">
              <wp:posOffset>-7620</wp:posOffset>
            </wp:positionV>
            <wp:extent cx="825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3055620</wp:posOffset>
            </wp:positionH>
            <wp:positionV relativeFrom="paragraph">
              <wp:posOffset>-7620</wp:posOffset>
            </wp:positionV>
            <wp:extent cx="825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3072765</wp:posOffset>
            </wp:positionH>
            <wp:positionV relativeFrom="paragraph">
              <wp:posOffset>-7620</wp:posOffset>
            </wp:positionV>
            <wp:extent cx="825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-7620</wp:posOffset>
            </wp:positionV>
            <wp:extent cx="825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3106420</wp:posOffset>
            </wp:positionH>
            <wp:positionV relativeFrom="paragraph">
              <wp:posOffset>-7620</wp:posOffset>
            </wp:positionV>
            <wp:extent cx="825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3122930</wp:posOffset>
            </wp:positionH>
            <wp:positionV relativeFrom="paragraph">
              <wp:posOffset>-7620</wp:posOffset>
            </wp:positionV>
            <wp:extent cx="825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-7620</wp:posOffset>
            </wp:positionV>
            <wp:extent cx="825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-7620</wp:posOffset>
            </wp:positionV>
            <wp:extent cx="825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3173730</wp:posOffset>
            </wp:positionH>
            <wp:positionV relativeFrom="paragraph">
              <wp:posOffset>-7620</wp:posOffset>
            </wp:positionV>
            <wp:extent cx="825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3190875</wp:posOffset>
            </wp:positionH>
            <wp:positionV relativeFrom="paragraph">
              <wp:posOffset>-7620</wp:posOffset>
            </wp:positionV>
            <wp:extent cx="825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3208020</wp:posOffset>
            </wp:positionH>
            <wp:positionV relativeFrom="paragraph">
              <wp:posOffset>-7620</wp:posOffset>
            </wp:positionV>
            <wp:extent cx="825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-7620</wp:posOffset>
            </wp:positionV>
            <wp:extent cx="825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3241675</wp:posOffset>
            </wp:positionH>
            <wp:positionV relativeFrom="paragraph">
              <wp:posOffset>-7620</wp:posOffset>
            </wp:positionV>
            <wp:extent cx="825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-7620</wp:posOffset>
            </wp:positionV>
            <wp:extent cx="825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3275330</wp:posOffset>
            </wp:positionH>
            <wp:positionV relativeFrom="paragraph">
              <wp:posOffset>-7620</wp:posOffset>
            </wp:positionV>
            <wp:extent cx="825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-7620</wp:posOffset>
            </wp:positionV>
            <wp:extent cx="825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-7620</wp:posOffset>
            </wp:positionV>
            <wp:extent cx="825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3326130</wp:posOffset>
            </wp:positionH>
            <wp:positionV relativeFrom="paragraph">
              <wp:posOffset>-7620</wp:posOffset>
            </wp:positionV>
            <wp:extent cx="8255"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3343275</wp:posOffset>
            </wp:positionH>
            <wp:positionV relativeFrom="paragraph">
              <wp:posOffset>-7620</wp:posOffset>
            </wp:positionV>
            <wp:extent cx="825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-7620</wp:posOffset>
            </wp:positionV>
            <wp:extent cx="825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3376930</wp:posOffset>
            </wp:positionH>
            <wp:positionV relativeFrom="paragraph">
              <wp:posOffset>-7620</wp:posOffset>
            </wp:positionV>
            <wp:extent cx="825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3393440</wp:posOffset>
            </wp:positionH>
            <wp:positionV relativeFrom="paragraph">
              <wp:posOffset>-7620</wp:posOffset>
            </wp:positionV>
            <wp:extent cx="825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-7620</wp:posOffset>
            </wp:positionV>
            <wp:extent cx="825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3427730</wp:posOffset>
            </wp:positionH>
            <wp:positionV relativeFrom="paragraph">
              <wp:posOffset>-7620</wp:posOffset>
            </wp:positionV>
            <wp:extent cx="825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3444240</wp:posOffset>
            </wp:positionH>
            <wp:positionV relativeFrom="paragraph">
              <wp:posOffset>-7620</wp:posOffset>
            </wp:positionV>
            <wp:extent cx="825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-7620</wp:posOffset>
            </wp:positionV>
            <wp:extent cx="825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3478530</wp:posOffset>
            </wp:positionH>
            <wp:positionV relativeFrom="paragraph">
              <wp:posOffset>-7620</wp:posOffset>
            </wp:positionV>
            <wp:extent cx="825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-7620</wp:posOffset>
            </wp:positionV>
            <wp:extent cx="825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-7620</wp:posOffset>
            </wp:positionV>
            <wp:extent cx="825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-7620</wp:posOffset>
            </wp:positionV>
            <wp:extent cx="825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-7620</wp:posOffset>
            </wp:positionV>
            <wp:extent cx="825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-7620</wp:posOffset>
            </wp:positionV>
            <wp:extent cx="825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-7620</wp:posOffset>
            </wp:positionV>
            <wp:extent cx="825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-7620</wp:posOffset>
            </wp:positionV>
            <wp:extent cx="825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-7620</wp:posOffset>
            </wp:positionV>
            <wp:extent cx="825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3630295</wp:posOffset>
            </wp:positionH>
            <wp:positionV relativeFrom="paragraph">
              <wp:posOffset>-7620</wp:posOffset>
            </wp:positionV>
            <wp:extent cx="825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3647440</wp:posOffset>
            </wp:positionH>
            <wp:positionV relativeFrom="paragraph">
              <wp:posOffset>-7620</wp:posOffset>
            </wp:positionV>
            <wp:extent cx="825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3663950</wp:posOffset>
            </wp:positionH>
            <wp:positionV relativeFrom="paragraph">
              <wp:posOffset>-7620</wp:posOffset>
            </wp:positionV>
            <wp:extent cx="825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3681095</wp:posOffset>
            </wp:positionH>
            <wp:positionV relativeFrom="paragraph">
              <wp:posOffset>-7620</wp:posOffset>
            </wp:positionV>
            <wp:extent cx="825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-7620</wp:posOffset>
            </wp:positionV>
            <wp:extent cx="825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3714750</wp:posOffset>
            </wp:positionH>
            <wp:positionV relativeFrom="paragraph">
              <wp:posOffset>-7620</wp:posOffset>
            </wp:positionV>
            <wp:extent cx="825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-7620</wp:posOffset>
            </wp:positionV>
            <wp:extent cx="825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-7620</wp:posOffset>
            </wp:positionV>
            <wp:extent cx="825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-7620</wp:posOffset>
            </wp:positionV>
            <wp:extent cx="8255"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-7620</wp:posOffset>
            </wp:positionV>
            <wp:extent cx="825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3799205</wp:posOffset>
            </wp:positionH>
            <wp:positionV relativeFrom="paragraph">
              <wp:posOffset>-7620</wp:posOffset>
            </wp:positionV>
            <wp:extent cx="825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3816350</wp:posOffset>
            </wp:positionH>
            <wp:positionV relativeFrom="paragraph">
              <wp:posOffset>-7620</wp:posOffset>
            </wp:positionV>
            <wp:extent cx="825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3833495</wp:posOffset>
            </wp:positionH>
            <wp:positionV relativeFrom="paragraph">
              <wp:posOffset>-7620</wp:posOffset>
            </wp:positionV>
            <wp:extent cx="825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3850005</wp:posOffset>
            </wp:positionH>
            <wp:positionV relativeFrom="paragraph">
              <wp:posOffset>-7620</wp:posOffset>
            </wp:positionV>
            <wp:extent cx="825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3867150</wp:posOffset>
            </wp:positionH>
            <wp:positionV relativeFrom="paragraph">
              <wp:posOffset>-7620</wp:posOffset>
            </wp:positionV>
            <wp:extent cx="825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3884295</wp:posOffset>
            </wp:positionH>
            <wp:positionV relativeFrom="paragraph">
              <wp:posOffset>-7620</wp:posOffset>
            </wp:positionV>
            <wp:extent cx="825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-7620</wp:posOffset>
            </wp:positionV>
            <wp:extent cx="825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-7620</wp:posOffset>
            </wp:positionV>
            <wp:extent cx="825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-7620</wp:posOffset>
            </wp:positionV>
            <wp:extent cx="825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3951605</wp:posOffset>
            </wp:positionH>
            <wp:positionV relativeFrom="paragraph">
              <wp:posOffset>-7620</wp:posOffset>
            </wp:positionV>
            <wp:extent cx="825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-7620</wp:posOffset>
            </wp:positionV>
            <wp:extent cx="825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3985260</wp:posOffset>
            </wp:positionH>
            <wp:positionV relativeFrom="paragraph">
              <wp:posOffset>-7620</wp:posOffset>
            </wp:positionV>
            <wp:extent cx="825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4002405</wp:posOffset>
            </wp:positionH>
            <wp:positionV relativeFrom="paragraph">
              <wp:posOffset>-7620</wp:posOffset>
            </wp:positionV>
            <wp:extent cx="825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4019550</wp:posOffset>
            </wp:positionH>
            <wp:positionV relativeFrom="paragraph">
              <wp:posOffset>-7620</wp:posOffset>
            </wp:positionV>
            <wp:extent cx="825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-7620</wp:posOffset>
            </wp:positionV>
            <wp:extent cx="825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-7620</wp:posOffset>
            </wp:positionV>
            <wp:extent cx="825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4069715</wp:posOffset>
            </wp:positionH>
            <wp:positionV relativeFrom="paragraph">
              <wp:posOffset>-7620</wp:posOffset>
            </wp:positionV>
            <wp:extent cx="825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4086860</wp:posOffset>
            </wp:positionH>
            <wp:positionV relativeFrom="paragraph">
              <wp:posOffset>-7620</wp:posOffset>
            </wp:positionV>
            <wp:extent cx="825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4104005</wp:posOffset>
            </wp:positionH>
            <wp:positionV relativeFrom="paragraph">
              <wp:posOffset>-7620</wp:posOffset>
            </wp:positionV>
            <wp:extent cx="825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4120515</wp:posOffset>
            </wp:positionH>
            <wp:positionV relativeFrom="paragraph">
              <wp:posOffset>-7620</wp:posOffset>
            </wp:positionV>
            <wp:extent cx="825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-7620</wp:posOffset>
            </wp:positionV>
            <wp:extent cx="825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4154805</wp:posOffset>
            </wp:positionH>
            <wp:positionV relativeFrom="paragraph">
              <wp:posOffset>-7620</wp:posOffset>
            </wp:positionV>
            <wp:extent cx="825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-7620</wp:posOffset>
            </wp:positionV>
            <wp:extent cx="825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8255"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-7620</wp:posOffset>
            </wp:positionV>
            <wp:extent cx="825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-7620</wp:posOffset>
            </wp:positionV>
            <wp:extent cx="825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-7620</wp:posOffset>
            </wp:positionV>
            <wp:extent cx="825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4255770</wp:posOffset>
            </wp:positionH>
            <wp:positionV relativeFrom="paragraph">
              <wp:posOffset>-7620</wp:posOffset>
            </wp:positionV>
            <wp:extent cx="825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4272915</wp:posOffset>
            </wp:positionH>
            <wp:positionV relativeFrom="paragraph">
              <wp:posOffset>-7620</wp:posOffset>
            </wp:positionV>
            <wp:extent cx="8255"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4289425</wp:posOffset>
            </wp:positionH>
            <wp:positionV relativeFrom="paragraph">
              <wp:posOffset>-7620</wp:posOffset>
            </wp:positionV>
            <wp:extent cx="825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4306570</wp:posOffset>
            </wp:positionH>
            <wp:positionV relativeFrom="paragraph">
              <wp:posOffset>-7620</wp:posOffset>
            </wp:positionV>
            <wp:extent cx="825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4323715</wp:posOffset>
            </wp:positionH>
            <wp:positionV relativeFrom="paragraph">
              <wp:posOffset>-7620</wp:posOffset>
            </wp:positionV>
            <wp:extent cx="825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-7620</wp:posOffset>
            </wp:positionV>
            <wp:extent cx="825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-7620</wp:posOffset>
            </wp:positionV>
            <wp:extent cx="825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-7620</wp:posOffset>
            </wp:positionV>
            <wp:extent cx="825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4391025</wp:posOffset>
            </wp:positionH>
            <wp:positionV relativeFrom="paragraph">
              <wp:posOffset>-7620</wp:posOffset>
            </wp:positionV>
            <wp:extent cx="825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4408170</wp:posOffset>
            </wp:positionH>
            <wp:positionV relativeFrom="paragraph">
              <wp:posOffset>-7620</wp:posOffset>
            </wp:positionV>
            <wp:extent cx="825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4424680</wp:posOffset>
            </wp:positionH>
            <wp:positionV relativeFrom="paragraph">
              <wp:posOffset>-7620</wp:posOffset>
            </wp:positionV>
            <wp:extent cx="825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-7620</wp:posOffset>
            </wp:positionV>
            <wp:extent cx="825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4458970</wp:posOffset>
            </wp:positionH>
            <wp:positionV relativeFrom="paragraph">
              <wp:posOffset>-7620</wp:posOffset>
            </wp:positionV>
            <wp:extent cx="825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4475480</wp:posOffset>
            </wp:positionH>
            <wp:positionV relativeFrom="paragraph">
              <wp:posOffset>-7620</wp:posOffset>
            </wp:positionV>
            <wp:extent cx="825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4492625</wp:posOffset>
            </wp:positionH>
            <wp:positionV relativeFrom="paragraph">
              <wp:posOffset>-7620</wp:posOffset>
            </wp:positionV>
            <wp:extent cx="825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-7620</wp:posOffset>
            </wp:positionV>
            <wp:extent cx="8255"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4526280</wp:posOffset>
            </wp:positionH>
            <wp:positionV relativeFrom="paragraph">
              <wp:posOffset>-7620</wp:posOffset>
            </wp:positionV>
            <wp:extent cx="825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4543425</wp:posOffset>
            </wp:positionH>
            <wp:positionV relativeFrom="paragraph">
              <wp:posOffset>-7620</wp:posOffset>
            </wp:positionV>
            <wp:extent cx="825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-7620</wp:posOffset>
            </wp:positionV>
            <wp:extent cx="825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-7620</wp:posOffset>
            </wp:positionV>
            <wp:extent cx="825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-7620</wp:posOffset>
            </wp:positionV>
            <wp:extent cx="825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4610735</wp:posOffset>
            </wp:positionH>
            <wp:positionV relativeFrom="paragraph">
              <wp:posOffset>-7620</wp:posOffset>
            </wp:positionV>
            <wp:extent cx="825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4627880</wp:posOffset>
            </wp:positionH>
            <wp:positionV relativeFrom="paragraph">
              <wp:posOffset>-7620</wp:posOffset>
            </wp:positionV>
            <wp:extent cx="825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4645025</wp:posOffset>
            </wp:positionH>
            <wp:positionV relativeFrom="paragraph">
              <wp:posOffset>-7620</wp:posOffset>
            </wp:positionV>
            <wp:extent cx="825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-7620</wp:posOffset>
            </wp:positionV>
            <wp:extent cx="825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-7620</wp:posOffset>
            </wp:positionV>
            <wp:extent cx="825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4695190</wp:posOffset>
            </wp:positionH>
            <wp:positionV relativeFrom="paragraph">
              <wp:posOffset>-7620</wp:posOffset>
            </wp:positionV>
            <wp:extent cx="8255"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-7620</wp:posOffset>
            </wp:positionV>
            <wp:extent cx="825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-7620</wp:posOffset>
            </wp:positionV>
            <wp:extent cx="825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-7620</wp:posOffset>
            </wp:positionV>
            <wp:extent cx="8255"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-7620</wp:posOffset>
            </wp:positionV>
            <wp:extent cx="8255"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-7620</wp:posOffset>
            </wp:positionV>
            <wp:extent cx="825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825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825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4830445</wp:posOffset>
            </wp:positionH>
            <wp:positionV relativeFrom="paragraph">
              <wp:posOffset>-7620</wp:posOffset>
            </wp:positionV>
            <wp:extent cx="825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4847590</wp:posOffset>
            </wp:positionH>
            <wp:positionV relativeFrom="paragraph">
              <wp:posOffset>-7620</wp:posOffset>
            </wp:positionV>
            <wp:extent cx="825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4864735</wp:posOffset>
            </wp:positionH>
            <wp:positionV relativeFrom="paragraph">
              <wp:posOffset>-7620</wp:posOffset>
            </wp:positionV>
            <wp:extent cx="825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4881245</wp:posOffset>
            </wp:positionH>
            <wp:positionV relativeFrom="paragraph">
              <wp:posOffset>-7620</wp:posOffset>
            </wp:positionV>
            <wp:extent cx="825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4898390</wp:posOffset>
            </wp:positionH>
            <wp:positionV relativeFrom="paragraph">
              <wp:posOffset>-7620</wp:posOffset>
            </wp:positionV>
            <wp:extent cx="825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-7620</wp:posOffset>
            </wp:positionV>
            <wp:extent cx="8255"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-7620</wp:posOffset>
            </wp:positionV>
            <wp:extent cx="8255"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-7620</wp:posOffset>
            </wp:positionV>
            <wp:extent cx="825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4965700</wp:posOffset>
            </wp:positionH>
            <wp:positionV relativeFrom="paragraph">
              <wp:posOffset>-7620</wp:posOffset>
            </wp:positionV>
            <wp:extent cx="825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4982845</wp:posOffset>
            </wp:positionH>
            <wp:positionV relativeFrom="paragraph">
              <wp:posOffset>-7620</wp:posOffset>
            </wp:positionV>
            <wp:extent cx="825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4999990</wp:posOffset>
            </wp:positionH>
            <wp:positionV relativeFrom="paragraph">
              <wp:posOffset>-7620</wp:posOffset>
            </wp:positionV>
            <wp:extent cx="8255"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5016500</wp:posOffset>
            </wp:positionH>
            <wp:positionV relativeFrom="paragraph">
              <wp:posOffset>-7620</wp:posOffset>
            </wp:positionV>
            <wp:extent cx="825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5033645</wp:posOffset>
            </wp:positionH>
            <wp:positionV relativeFrom="paragraph">
              <wp:posOffset>-7620</wp:posOffset>
            </wp:positionV>
            <wp:extent cx="825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-7620</wp:posOffset>
            </wp:positionV>
            <wp:extent cx="825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5067300</wp:posOffset>
            </wp:positionH>
            <wp:positionV relativeFrom="paragraph">
              <wp:posOffset>-7620</wp:posOffset>
            </wp:positionV>
            <wp:extent cx="825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5084445</wp:posOffset>
            </wp:positionH>
            <wp:positionV relativeFrom="paragraph">
              <wp:posOffset>-7620</wp:posOffset>
            </wp:positionV>
            <wp:extent cx="825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5100955</wp:posOffset>
            </wp:positionH>
            <wp:positionV relativeFrom="paragraph">
              <wp:posOffset>-7620</wp:posOffset>
            </wp:positionV>
            <wp:extent cx="8255"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5118100</wp:posOffset>
            </wp:positionH>
            <wp:positionV relativeFrom="paragraph">
              <wp:posOffset>-7620</wp:posOffset>
            </wp:positionV>
            <wp:extent cx="825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5135245</wp:posOffset>
            </wp:positionH>
            <wp:positionV relativeFrom="paragraph">
              <wp:posOffset>-7620</wp:posOffset>
            </wp:positionV>
            <wp:extent cx="825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5151755</wp:posOffset>
            </wp:positionH>
            <wp:positionV relativeFrom="paragraph">
              <wp:posOffset>-7620</wp:posOffset>
            </wp:positionV>
            <wp:extent cx="825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5168900</wp:posOffset>
            </wp:positionH>
            <wp:positionV relativeFrom="paragraph">
              <wp:posOffset>-7620</wp:posOffset>
            </wp:positionV>
            <wp:extent cx="8255"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5186045</wp:posOffset>
            </wp:positionH>
            <wp:positionV relativeFrom="paragraph">
              <wp:posOffset>-7620</wp:posOffset>
            </wp:positionV>
            <wp:extent cx="8255"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-7620</wp:posOffset>
            </wp:positionV>
            <wp:extent cx="8255"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-7620</wp:posOffset>
            </wp:positionV>
            <wp:extent cx="825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-7620</wp:posOffset>
            </wp:positionV>
            <wp:extent cx="825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-7620</wp:posOffset>
            </wp:positionV>
            <wp:extent cx="825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-7620</wp:posOffset>
            </wp:positionV>
            <wp:extent cx="825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5287010</wp:posOffset>
            </wp:positionH>
            <wp:positionV relativeFrom="paragraph">
              <wp:posOffset>-7620</wp:posOffset>
            </wp:positionV>
            <wp:extent cx="825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5304155</wp:posOffset>
            </wp:positionH>
            <wp:positionV relativeFrom="paragraph">
              <wp:posOffset>-7620</wp:posOffset>
            </wp:positionV>
            <wp:extent cx="8255"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5321300</wp:posOffset>
            </wp:positionH>
            <wp:positionV relativeFrom="paragraph">
              <wp:posOffset>-7620</wp:posOffset>
            </wp:positionV>
            <wp:extent cx="825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-7620</wp:posOffset>
            </wp:positionV>
            <wp:extent cx="8255"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-7620</wp:posOffset>
            </wp:positionV>
            <wp:extent cx="8255"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825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825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825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5422265</wp:posOffset>
            </wp:positionH>
            <wp:positionV relativeFrom="paragraph">
              <wp:posOffset>-7620</wp:posOffset>
            </wp:positionV>
            <wp:extent cx="8255"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5439410</wp:posOffset>
            </wp:positionH>
            <wp:positionV relativeFrom="paragraph">
              <wp:posOffset>-7620</wp:posOffset>
            </wp:positionV>
            <wp:extent cx="825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5455920</wp:posOffset>
            </wp:positionH>
            <wp:positionV relativeFrom="paragraph">
              <wp:posOffset>-7620</wp:posOffset>
            </wp:positionV>
            <wp:extent cx="8255"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5473065</wp:posOffset>
            </wp:positionH>
            <wp:positionV relativeFrom="paragraph">
              <wp:posOffset>-7620</wp:posOffset>
            </wp:positionV>
            <wp:extent cx="8255"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5490210</wp:posOffset>
            </wp:positionH>
            <wp:positionV relativeFrom="paragraph">
              <wp:posOffset>-7620</wp:posOffset>
            </wp:positionV>
            <wp:extent cx="8255"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5506720</wp:posOffset>
            </wp:positionH>
            <wp:positionV relativeFrom="paragraph">
              <wp:posOffset>-7620</wp:posOffset>
            </wp:positionV>
            <wp:extent cx="8255"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5523865</wp:posOffset>
            </wp:positionH>
            <wp:positionV relativeFrom="paragraph">
              <wp:posOffset>-7620</wp:posOffset>
            </wp:positionV>
            <wp:extent cx="8255"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5541010</wp:posOffset>
            </wp:positionH>
            <wp:positionV relativeFrom="paragraph">
              <wp:posOffset>-7620</wp:posOffset>
            </wp:positionV>
            <wp:extent cx="8255"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-7620</wp:posOffset>
            </wp:positionV>
            <wp:extent cx="825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-7620</wp:posOffset>
            </wp:positionV>
            <wp:extent cx="8255"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5591175</wp:posOffset>
            </wp:positionH>
            <wp:positionV relativeFrom="paragraph">
              <wp:posOffset>-7620</wp:posOffset>
            </wp:positionV>
            <wp:extent cx="8255"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5608320</wp:posOffset>
            </wp:positionH>
            <wp:positionV relativeFrom="paragraph">
              <wp:posOffset>-7620</wp:posOffset>
            </wp:positionV>
            <wp:extent cx="8255"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5625465</wp:posOffset>
            </wp:positionH>
            <wp:positionV relativeFrom="paragraph">
              <wp:posOffset>-7620</wp:posOffset>
            </wp:positionV>
            <wp:extent cx="8255"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5641975</wp:posOffset>
            </wp:positionH>
            <wp:positionV relativeFrom="paragraph">
              <wp:posOffset>-7620</wp:posOffset>
            </wp:positionV>
            <wp:extent cx="8255"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5659120</wp:posOffset>
            </wp:positionH>
            <wp:positionV relativeFrom="paragraph">
              <wp:posOffset>-7620</wp:posOffset>
            </wp:positionV>
            <wp:extent cx="8255"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5676265</wp:posOffset>
            </wp:positionH>
            <wp:positionV relativeFrom="paragraph">
              <wp:posOffset>-7620</wp:posOffset>
            </wp:positionV>
            <wp:extent cx="8255"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5692775</wp:posOffset>
            </wp:positionH>
            <wp:positionV relativeFrom="paragraph">
              <wp:posOffset>-7620</wp:posOffset>
            </wp:positionV>
            <wp:extent cx="8255"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5709920</wp:posOffset>
            </wp:positionH>
            <wp:positionV relativeFrom="paragraph">
              <wp:posOffset>-7620</wp:posOffset>
            </wp:positionV>
            <wp:extent cx="8255"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5726430</wp:posOffset>
            </wp:positionH>
            <wp:positionV relativeFrom="paragraph">
              <wp:posOffset>-7620</wp:posOffset>
            </wp:positionV>
            <wp:extent cx="825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5743575</wp:posOffset>
            </wp:positionH>
            <wp:positionV relativeFrom="paragraph">
              <wp:posOffset>-7620</wp:posOffset>
            </wp:positionV>
            <wp:extent cx="825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5760720</wp:posOffset>
            </wp:positionH>
            <wp:positionV relativeFrom="paragraph">
              <wp:posOffset>-7620</wp:posOffset>
            </wp:positionV>
            <wp:extent cx="8255"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5777230</wp:posOffset>
            </wp:positionH>
            <wp:positionV relativeFrom="paragraph">
              <wp:posOffset>-7620</wp:posOffset>
            </wp:positionV>
            <wp:extent cx="8255"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5794375</wp:posOffset>
            </wp:positionH>
            <wp:positionV relativeFrom="paragraph">
              <wp:posOffset>-7620</wp:posOffset>
            </wp:positionV>
            <wp:extent cx="8255"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-7620</wp:posOffset>
            </wp:positionV>
            <wp:extent cx="8255"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-7620</wp:posOffset>
            </wp:positionV>
            <wp:extent cx="8255"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5845175</wp:posOffset>
            </wp:positionH>
            <wp:positionV relativeFrom="paragraph">
              <wp:posOffset>-7620</wp:posOffset>
            </wp:positionV>
            <wp:extent cx="8255"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-7620</wp:posOffset>
            </wp:positionV>
            <wp:extent cx="8255"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-7620</wp:posOffset>
            </wp:positionV>
            <wp:extent cx="8255"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8255"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5912485</wp:posOffset>
            </wp:positionH>
            <wp:positionV relativeFrom="paragraph">
              <wp:posOffset>-7620</wp:posOffset>
            </wp:positionV>
            <wp:extent cx="825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-7620</wp:posOffset>
            </wp:positionV>
            <wp:extent cx="8255"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5946775</wp:posOffset>
            </wp:positionH>
            <wp:positionV relativeFrom="paragraph">
              <wp:posOffset>-7620</wp:posOffset>
            </wp:positionV>
            <wp:extent cx="8255"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-7620</wp:posOffset>
            </wp:positionV>
            <wp:extent cx="8255"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-7620</wp:posOffset>
            </wp:positionV>
            <wp:extent cx="825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8255"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8255"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8255"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6047740</wp:posOffset>
            </wp:positionH>
            <wp:positionV relativeFrom="paragraph">
              <wp:posOffset>-7620</wp:posOffset>
            </wp:positionV>
            <wp:extent cx="8255"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6064885</wp:posOffset>
            </wp:positionH>
            <wp:positionV relativeFrom="paragraph">
              <wp:posOffset>-7620</wp:posOffset>
            </wp:positionV>
            <wp:extent cx="825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6082030</wp:posOffset>
            </wp:positionH>
            <wp:positionV relativeFrom="paragraph">
              <wp:posOffset>-7620</wp:posOffset>
            </wp:positionV>
            <wp:extent cx="8255"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6098540</wp:posOffset>
            </wp:positionH>
            <wp:positionV relativeFrom="paragraph">
              <wp:posOffset>-7620</wp:posOffset>
            </wp:positionV>
            <wp:extent cx="8255"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6115685</wp:posOffset>
            </wp:positionH>
            <wp:positionV relativeFrom="paragraph">
              <wp:posOffset>-7620</wp:posOffset>
            </wp:positionV>
            <wp:extent cx="8255"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6132195</wp:posOffset>
            </wp:positionH>
            <wp:positionV relativeFrom="paragraph">
              <wp:posOffset>-7620</wp:posOffset>
            </wp:positionV>
            <wp:extent cx="8255"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6149340</wp:posOffset>
            </wp:positionH>
            <wp:positionV relativeFrom="paragraph">
              <wp:posOffset>-7620</wp:posOffset>
            </wp:positionV>
            <wp:extent cx="825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6166485</wp:posOffset>
            </wp:positionH>
            <wp:positionV relativeFrom="paragraph">
              <wp:posOffset>-7620</wp:posOffset>
            </wp:positionV>
            <wp:extent cx="8255"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6182995</wp:posOffset>
            </wp:positionH>
            <wp:positionV relativeFrom="paragraph">
              <wp:posOffset>-7620</wp:posOffset>
            </wp:positionV>
            <wp:extent cx="8255"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6200140</wp:posOffset>
            </wp:positionH>
            <wp:positionV relativeFrom="paragraph">
              <wp:posOffset>-7620</wp:posOffset>
            </wp:positionV>
            <wp:extent cx="8255"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6217285</wp:posOffset>
            </wp:positionH>
            <wp:positionV relativeFrom="paragraph">
              <wp:posOffset>-7620</wp:posOffset>
            </wp:positionV>
            <wp:extent cx="825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6233795</wp:posOffset>
            </wp:positionH>
            <wp:positionV relativeFrom="paragraph">
              <wp:posOffset>-7620</wp:posOffset>
            </wp:positionV>
            <wp:extent cx="8255"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6250940</wp:posOffset>
            </wp:positionH>
            <wp:positionV relativeFrom="paragraph">
              <wp:posOffset>-7620</wp:posOffset>
            </wp:positionV>
            <wp:extent cx="8255"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6267450</wp:posOffset>
            </wp:positionH>
            <wp:positionV relativeFrom="paragraph">
              <wp:posOffset>-7620</wp:posOffset>
            </wp:positionV>
            <wp:extent cx="8255"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6284595</wp:posOffset>
            </wp:positionH>
            <wp:positionV relativeFrom="paragraph">
              <wp:posOffset>-7620</wp:posOffset>
            </wp:positionV>
            <wp:extent cx="825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6301740</wp:posOffset>
            </wp:positionH>
            <wp:positionV relativeFrom="paragraph">
              <wp:posOffset>-7620</wp:posOffset>
            </wp:positionV>
            <wp:extent cx="8255"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6318250</wp:posOffset>
            </wp:positionH>
            <wp:positionV relativeFrom="paragraph">
              <wp:posOffset>-7620</wp:posOffset>
            </wp:positionV>
            <wp:extent cx="825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6335395</wp:posOffset>
            </wp:positionH>
            <wp:positionV relativeFrom="paragraph">
              <wp:posOffset>-7620</wp:posOffset>
            </wp:positionV>
            <wp:extent cx="8255"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6352540</wp:posOffset>
            </wp:positionH>
            <wp:positionV relativeFrom="paragraph">
              <wp:posOffset>-7620</wp:posOffset>
            </wp:positionV>
            <wp:extent cx="8255"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6369050</wp:posOffset>
            </wp:positionH>
            <wp:positionV relativeFrom="paragraph">
              <wp:posOffset>-7620</wp:posOffset>
            </wp:positionV>
            <wp:extent cx="8255"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6386195</wp:posOffset>
            </wp:positionH>
            <wp:positionV relativeFrom="paragraph">
              <wp:posOffset>-7620</wp:posOffset>
            </wp:positionV>
            <wp:extent cx="825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-7620</wp:posOffset>
            </wp:positionV>
            <wp:extent cx="825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-7620</wp:posOffset>
            </wp:positionV>
            <wp:extent cx="8255"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-7620</wp:posOffset>
            </wp:positionV>
            <wp:extent cx="8255"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6453505</wp:posOffset>
            </wp:positionH>
            <wp:positionV relativeFrom="paragraph">
              <wp:posOffset>-7620</wp:posOffset>
            </wp:positionV>
            <wp:extent cx="8255"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6470650</wp:posOffset>
            </wp:positionH>
            <wp:positionV relativeFrom="paragraph">
              <wp:posOffset>-7620</wp:posOffset>
            </wp:positionV>
            <wp:extent cx="8255"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6487795</wp:posOffset>
            </wp:positionH>
            <wp:positionV relativeFrom="paragraph">
              <wp:posOffset>-7620</wp:posOffset>
            </wp:positionV>
            <wp:extent cx="825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6504305</wp:posOffset>
            </wp:positionH>
            <wp:positionV relativeFrom="paragraph">
              <wp:posOffset>-7620</wp:posOffset>
            </wp:positionV>
            <wp:extent cx="8255"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6521450</wp:posOffset>
            </wp:positionH>
            <wp:positionV relativeFrom="paragraph">
              <wp:posOffset>-7620</wp:posOffset>
            </wp:positionV>
            <wp:extent cx="8255"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-7620</wp:posOffset>
            </wp:positionV>
            <wp:extent cx="8255"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-7620</wp:posOffset>
            </wp:positionV>
            <wp:extent cx="8255"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-7620</wp:posOffset>
            </wp:positionV>
            <wp:extent cx="8255"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-7620</wp:posOffset>
            </wp:positionV>
            <wp:extent cx="8255"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-7620</wp:posOffset>
            </wp:positionV>
            <wp:extent cx="8255"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6622415</wp:posOffset>
            </wp:positionH>
            <wp:positionV relativeFrom="paragraph">
              <wp:posOffset>-7620</wp:posOffset>
            </wp:positionV>
            <wp:extent cx="8255"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6639560</wp:posOffset>
            </wp:positionH>
            <wp:positionV relativeFrom="paragraph">
              <wp:posOffset>-7620</wp:posOffset>
            </wp:positionV>
            <wp:extent cx="8255"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6656705</wp:posOffset>
            </wp:positionH>
            <wp:positionV relativeFrom="paragraph">
              <wp:posOffset>-7620</wp:posOffset>
            </wp:positionV>
            <wp:extent cx="8255"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6673215</wp:posOffset>
            </wp:positionH>
            <wp:positionV relativeFrom="paragraph">
              <wp:posOffset>-7620</wp:posOffset>
            </wp:positionV>
            <wp:extent cx="8255"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6690360</wp:posOffset>
            </wp:positionH>
            <wp:positionV relativeFrom="paragraph">
              <wp:posOffset>-7620</wp:posOffset>
            </wp:positionV>
            <wp:extent cx="825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6707505</wp:posOffset>
            </wp:positionH>
            <wp:positionV relativeFrom="paragraph">
              <wp:posOffset>-7620</wp:posOffset>
            </wp:positionV>
            <wp:extent cx="8255"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6724015</wp:posOffset>
            </wp:positionH>
            <wp:positionV relativeFrom="paragraph">
              <wp:posOffset>-7620</wp:posOffset>
            </wp:positionV>
            <wp:extent cx="8255"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6741160</wp:posOffset>
            </wp:positionH>
            <wp:positionV relativeFrom="paragraph">
              <wp:posOffset>-7620</wp:posOffset>
            </wp:positionV>
            <wp:extent cx="8255"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6757670</wp:posOffset>
            </wp:positionH>
            <wp:positionV relativeFrom="paragraph">
              <wp:posOffset>-7620</wp:posOffset>
            </wp:positionV>
            <wp:extent cx="8255"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6774815</wp:posOffset>
            </wp:positionH>
            <wp:positionV relativeFrom="paragraph">
              <wp:posOffset>-7620</wp:posOffset>
            </wp:positionV>
            <wp:extent cx="8255"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6791960</wp:posOffset>
            </wp:positionH>
            <wp:positionV relativeFrom="paragraph">
              <wp:posOffset>-7620</wp:posOffset>
            </wp:positionV>
            <wp:extent cx="8255"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6808470</wp:posOffset>
            </wp:positionH>
            <wp:positionV relativeFrom="paragraph">
              <wp:posOffset>-7620</wp:posOffset>
            </wp:positionV>
            <wp:extent cx="8255"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6825615</wp:posOffset>
            </wp:positionH>
            <wp:positionV relativeFrom="paragraph">
              <wp:posOffset>-7620</wp:posOffset>
            </wp:positionV>
            <wp:extent cx="8255"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6842760</wp:posOffset>
            </wp:positionH>
            <wp:positionV relativeFrom="paragraph">
              <wp:posOffset>-7620</wp:posOffset>
            </wp:positionV>
            <wp:extent cx="8255"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6859270</wp:posOffset>
            </wp:positionH>
            <wp:positionV relativeFrom="paragraph">
              <wp:posOffset>-7620</wp:posOffset>
            </wp:positionV>
            <wp:extent cx="825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6876415</wp:posOffset>
            </wp:positionH>
            <wp:positionV relativeFrom="paragraph">
              <wp:posOffset>-7620</wp:posOffset>
            </wp:positionV>
            <wp:extent cx="8255"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6892925</wp:posOffset>
            </wp:positionH>
            <wp:positionV relativeFrom="paragraph">
              <wp:posOffset>-7620</wp:posOffset>
            </wp:positionV>
            <wp:extent cx="8255"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6910070</wp:posOffset>
            </wp:positionH>
            <wp:positionV relativeFrom="paragraph">
              <wp:posOffset>-7620</wp:posOffset>
            </wp:positionV>
            <wp:extent cx="8255"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6927215</wp:posOffset>
            </wp:positionH>
            <wp:positionV relativeFrom="paragraph">
              <wp:posOffset>-7620</wp:posOffset>
            </wp:positionV>
            <wp:extent cx="8255"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6943725</wp:posOffset>
            </wp:positionH>
            <wp:positionV relativeFrom="paragraph">
              <wp:posOffset>-7620</wp:posOffset>
            </wp:positionV>
            <wp:extent cx="8255"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6960870</wp:posOffset>
            </wp:positionH>
            <wp:positionV relativeFrom="paragraph">
              <wp:posOffset>-7620</wp:posOffset>
            </wp:positionV>
            <wp:extent cx="8255"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6978015</wp:posOffset>
            </wp:positionH>
            <wp:positionV relativeFrom="paragraph">
              <wp:posOffset>-7620</wp:posOffset>
            </wp:positionV>
            <wp:extent cx="8255"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6994525</wp:posOffset>
            </wp:positionH>
            <wp:positionV relativeFrom="paragraph">
              <wp:posOffset>-7620</wp:posOffset>
            </wp:positionV>
            <wp:extent cx="8255"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7011670</wp:posOffset>
            </wp:positionH>
            <wp:positionV relativeFrom="paragraph">
              <wp:posOffset>-7620</wp:posOffset>
            </wp:positionV>
            <wp:extent cx="8255"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7028180</wp:posOffset>
            </wp:positionH>
            <wp:positionV relativeFrom="paragraph">
              <wp:posOffset>-7620</wp:posOffset>
            </wp:positionV>
            <wp:extent cx="8255"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7045325</wp:posOffset>
            </wp:positionH>
            <wp:positionV relativeFrom="paragraph">
              <wp:posOffset>-7620</wp:posOffset>
            </wp:positionV>
            <wp:extent cx="8255"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7062470</wp:posOffset>
            </wp:positionH>
            <wp:positionV relativeFrom="paragraph">
              <wp:posOffset>-7620</wp:posOffset>
            </wp:positionV>
            <wp:extent cx="8255"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7078980</wp:posOffset>
            </wp:positionH>
            <wp:positionV relativeFrom="paragraph">
              <wp:posOffset>-7620</wp:posOffset>
            </wp:positionV>
            <wp:extent cx="8255"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7096125</wp:posOffset>
            </wp:positionH>
            <wp:positionV relativeFrom="paragraph">
              <wp:posOffset>-7620</wp:posOffset>
            </wp:positionV>
            <wp:extent cx="8255"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7113270</wp:posOffset>
            </wp:positionH>
            <wp:positionV relativeFrom="paragraph">
              <wp:posOffset>-7620</wp:posOffset>
            </wp:positionV>
            <wp:extent cx="8255"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color w:val="009A4B"/>
        </w:rPr>
        <w:t>Our Compensation Philosophy</w:t>
      </w:r>
    </w:p>
    <w:p>
      <w:pPr>
        <w:spacing w:after="0" w:line="199"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b w:val="1"/>
          <w:bCs w:val="1"/>
          <w:color w:val="auto"/>
        </w:rPr>
        <w:t xml:space="preserve">Overview. </w:t>
      </w:r>
      <w:r>
        <w:rPr>
          <w:rFonts w:ascii="Arial" w:cs="Arial" w:eastAsia="Arial" w:hAnsi="Arial"/>
          <w:sz w:val="16"/>
          <w:szCs w:val="16"/>
          <w:color w:val="auto"/>
        </w:rPr>
        <w:t>The overall objective of our executive officer compensation program is to attract and retain a talented management team and to provide them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 incentives to execute our strategic objectives and to maximize shareholder value. The same principles that govern the compensation of all our salaried employees apply to the compensation of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86995</wp:posOffset>
            </wp:positionV>
            <wp:extent cx="7134225" cy="26371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134225" cy="2637155"/>
                    </a:xfrm>
                    <a:prstGeom prst="rect">
                      <a:avLst/>
                    </a:prstGeom>
                    <a:noFill/>
                  </pic:spPr>
                </pic:pic>
              </a:graphicData>
            </a:graphic>
          </wp:anchor>
        </w:drawing>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9A4B"/>
        </w:rPr>
        <w:t>Tie compensation to strategy, performance and delivering shareholder value.</w:t>
      </w:r>
    </w:p>
    <w:p>
      <w:pPr>
        <w:spacing w:after="0" w:line="182" w:lineRule="exact"/>
        <w:rPr>
          <w:sz w:val="20"/>
          <w:szCs w:val="20"/>
          <w:color w:val="auto"/>
        </w:rPr>
      </w:pPr>
    </w:p>
    <w:p>
      <w:pPr>
        <w:ind w:left="120" w:right="60"/>
        <w:spacing w:after="0" w:line="245" w:lineRule="auto"/>
        <w:rPr>
          <w:sz w:val="20"/>
          <w:szCs w:val="20"/>
          <w:color w:val="auto"/>
        </w:rPr>
      </w:pPr>
      <w:r>
        <w:rPr>
          <w:rFonts w:ascii="Arial" w:cs="Arial" w:eastAsia="Arial" w:hAnsi="Arial"/>
          <w:sz w:val="16"/>
          <w:szCs w:val="16"/>
          <w:color w:val="auto"/>
        </w:rPr>
        <w:t>The Company’s programs provide incentive compensation opportunities that promote achievement of short- and long-term strategic and financial objectives. Annual incentive compensation targets are aligned with the Company’s adjusted earnings per share goals communicated to shareholders so that executive officers only receive target payouts if we meet shareholders’ expectations and if we meet or exceed financial and non-financial targets. Long-term incentives are granted in stock, the majority of which is tied to Company TSR so that factors that impact the value of our shareholders’ investment in the Company significantly impact our management team’s compensation.</w:t>
      </w:r>
    </w:p>
    <w:p>
      <w:pPr>
        <w:sectPr>
          <w:pgSz w:w="11900" w:h="16838" w:orient="portrait"/>
          <w:cols w:equalWidth="0" w:num="1">
            <w:col w:w="11180"/>
          </w:cols>
          <w:pgMar w:left="320" w:top="140" w:right="399" w:bottom="1440" w:gutter="0" w:footer="0" w:header="0"/>
        </w:sectPr>
      </w:pPr>
    </w:p>
    <w:p>
      <w:pPr>
        <w:spacing w:after="0" w:line="239" w:lineRule="exact"/>
        <w:rPr>
          <w:sz w:val="20"/>
          <w:szCs w:val="20"/>
          <w:color w:val="auto"/>
        </w:rPr>
      </w:pPr>
    </w:p>
    <w:p>
      <w:pPr>
        <w:ind w:left="120" w:right="540"/>
        <w:spacing w:after="0" w:line="280" w:lineRule="auto"/>
        <w:rPr>
          <w:sz w:val="20"/>
          <w:szCs w:val="20"/>
          <w:color w:val="auto"/>
        </w:rPr>
      </w:pPr>
      <w:r>
        <w:rPr>
          <w:rFonts w:ascii="Arial" w:cs="Arial" w:eastAsia="Arial" w:hAnsi="Arial"/>
          <w:sz w:val="16"/>
          <w:szCs w:val="16"/>
          <w:b w:val="1"/>
          <w:bCs w:val="1"/>
          <w:color w:val="009A4B"/>
        </w:rPr>
        <w:t>Provide competitive compensation for competitive performance.</w:t>
      </w:r>
    </w:p>
    <w:p>
      <w:pPr>
        <w:spacing w:after="0" w:line="123" w:lineRule="exact"/>
        <w:rPr>
          <w:sz w:val="20"/>
          <w:szCs w:val="20"/>
          <w:color w:val="auto"/>
        </w:rPr>
      </w:pPr>
    </w:p>
    <w:p>
      <w:pPr>
        <w:ind w:left="120"/>
        <w:spacing w:after="0" w:line="245" w:lineRule="auto"/>
        <w:rPr>
          <w:sz w:val="20"/>
          <w:szCs w:val="20"/>
          <w:color w:val="auto"/>
        </w:rPr>
      </w:pPr>
      <w:r>
        <w:rPr>
          <w:rFonts w:ascii="Arial" w:cs="Arial" w:eastAsia="Arial" w:hAnsi="Arial"/>
          <w:sz w:val="16"/>
          <w:szCs w:val="16"/>
          <w:color w:val="auto"/>
        </w:rPr>
        <w:t>The Company seeks to offer compensation opportunities that are sufficient to attract talented and experienced managers and to discourage them from seeking other employment opportunities.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009A4B"/>
        </w:rPr>
        <w:t>Foster non-financial corporate goals.</w:t>
      </w:r>
    </w:p>
    <w:p>
      <w:pPr>
        <w:spacing w:after="0" w:line="182"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While financial results are the primary commitment the Company makes to shareholders, the compensation program balances financial results with other Company values such as safety, diversity, sustainability and environmental stewardship. Certain components of the program provide flexibility to adjust compensation upwards or downwards for non-financial and strategic goals and to “claw back” compensation in cases of misconduct or restatement of financial results.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620"/>
        <w:spacing w:after="0" w:line="280" w:lineRule="auto"/>
        <w:rPr>
          <w:sz w:val="20"/>
          <w:szCs w:val="20"/>
          <w:color w:val="auto"/>
        </w:rPr>
      </w:pPr>
      <w:r>
        <w:rPr>
          <w:rFonts w:ascii="Arial" w:cs="Arial" w:eastAsia="Arial" w:hAnsi="Arial"/>
          <w:sz w:val="16"/>
          <w:szCs w:val="16"/>
          <w:b w:val="1"/>
          <w:bCs w:val="1"/>
          <w:color w:val="009A4B"/>
        </w:rPr>
        <w:t>Support actions needed to respond to changing business environments.</w:t>
      </w:r>
    </w:p>
    <w:p>
      <w:pPr>
        <w:spacing w:after="0" w:line="123" w:lineRule="exact"/>
        <w:rPr>
          <w:sz w:val="20"/>
          <w:szCs w:val="20"/>
          <w:color w:val="auto"/>
        </w:rPr>
      </w:pPr>
    </w:p>
    <w:p>
      <w:pPr>
        <w:ind w:right="220"/>
        <w:spacing w:after="0" w:line="263" w:lineRule="auto"/>
        <w:rPr>
          <w:sz w:val="20"/>
          <w:szCs w:val="20"/>
          <w:color w:val="auto"/>
        </w:rPr>
      </w:pPr>
      <w:r>
        <w:rPr>
          <w:rFonts w:ascii="Arial" w:cs="Arial" w:eastAsia="Arial" w:hAnsi="Arial"/>
          <w:sz w:val="15"/>
          <w:szCs w:val="15"/>
          <w:color w:val="auto"/>
        </w:rPr>
        <w:t>The Company has sought to provide some elements of compensation, such as severance benefits, which give the management team or the Board tools to facilitate decisions about succession planning, divestitures and restructurings or other significant corporate events that may impact the position or employment status of executive officers.</w:t>
      </w:r>
    </w:p>
    <w:p>
      <w:pPr>
        <w:spacing w:after="0" w:line="559" w:lineRule="exact"/>
        <w:rPr>
          <w:sz w:val="20"/>
          <w:szCs w:val="20"/>
          <w:color w:val="auto"/>
        </w:rPr>
      </w:pPr>
    </w:p>
    <w:p>
      <w:pPr>
        <w:sectPr>
          <w:pgSz w:w="11900" w:h="16838" w:orient="portrait"/>
          <w:cols w:equalWidth="0" w:num="3">
            <w:col w:w="3560" w:space="300"/>
            <w:col w:w="3480" w:space="340"/>
            <w:col w:w="3500"/>
          </w:cols>
          <w:pgMar w:left="320" w:top="140" w:right="399" w:bottom="1440" w:gutter="0" w:footer="0" w:header="0"/>
          <w:type w:val="continuous"/>
        </w:sectPr>
      </w:pPr>
    </w:p>
    <w:p>
      <w:pPr>
        <w:spacing w:after="0" w:line="112" w:lineRule="exact"/>
        <w:rPr>
          <w:sz w:val="20"/>
          <w:szCs w:val="20"/>
          <w:color w:val="auto"/>
        </w:rPr>
      </w:pPr>
    </w:p>
    <w:p>
      <w:pPr>
        <w:spacing w:after="0"/>
        <w:rPr>
          <w:sz w:val="20"/>
          <w:szCs w:val="20"/>
          <w:color w:val="auto"/>
        </w:rPr>
      </w:pPr>
      <w:r>
        <w:rPr>
          <w:rFonts w:ascii="Arial" w:cs="Arial" w:eastAsia="Arial" w:hAnsi="Arial"/>
          <w:sz w:val="25"/>
          <w:szCs w:val="25"/>
          <w:color w:val="009A4B"/>
        </w:rPr>
        <w:t>Fiscal 2021 Total Direct Compensation</w:t>
      </w:r>
    </w:p>
    <w:p>
      <w:pPr>
        <w:spacing w:after="0" w:line="219"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The Committee designed the executive officer compensation program to provide our executive officers with target compensation that, on average, is competitive with that of the relevant peer groups and with actual compensation driven up or down based on the Company’s operating performance, stock price and total shareholder return. Individual components of compensation may be greater or less than the median, and actual compensation delivered may vary significantly from the target and the median based on Company or individual performance and changes in our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94615</wp:posOffset>
            </wp:positionV>
            <wp:extent cx="845185" cy="20256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45185" cy="20256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7155180" cy="209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right="240"/>
        <w:spacing w:after="0" w:line="254" w:lineRule="auto"/>
        <w:rPr>
          <w:sz w:val="20"/>
          <w:szCs w:val="20"/>
          <w:color w:val="auto"/>
        </w:rPr>
      </w:pPr>
      <w:r>
        <w:rPr>
          <w:rFonts w:ascii="Arial" w:cs="Arial" w:eastAsia="Arial" w:hAnsi="Arial"/>
          <w:sz w:val="16"/>
          <w:szCs w:val="16"/>
          <w:color w:val="auto"/>
        </w:rPr>
        <w:t>The table below provides a brief description of the principal types of total direct compensation, how performance factors into each type of compensation and the compensation program objectives served by each type. Detailed descriptions of the components of direct compensation begin on page 36.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80" w:type="dxa"/>
            <w:vAlign w:val="bottom"/>
            <w:tcBorders>
              <w:right w:val="single" w:sz="8" w:color="auto"/>
            </w:tcBorders>
          </w:tcPr>
          <w:p>
            <w:pPr>
              <w:spacing w:after="0"/>
              <w:rPr>
                <w:sz w:val="16"/>
                <w:szCs w:val="16"/>
                <w:color w:val="auto"/>
              </w:rPr>
            </w:pPr>
          </w:p>
        </w:tc>
        <w:tc>
          <w:tcPr>
            <w:tcW w:w="358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6"/>
                <w:szCs w:val="16"/>
                <w:b w:val="1"/>
                <w:bCs w:val="1"/>
                <w:color w:val="auto"/>
              </w:rPr>
              <w:t>How Amount Determined/</w:t>
            </w:r>
          </w:p>
        </w:tc>
        <w:tc>
          <w:tcPr>
            <w:tcW w:w="3220" w:type="dxa"/>
            <w:vAlign w:val="bottom"/>
          </w:tcPr>
          <w:p>
            <w:pPr>
              <w:spacing w:after="0"/>
              <w:rPr>
                <w:sz w:val="16"/>
                <w:szCs w:val="16"/>
                <w:color w:val="auto"/>
              </w:rPr>
            </w:pPr>
          </w:p>
        </w:tc>
      </w:tr>
      <w:tr>
        <w:trPr>
          <w:trHeight w:val="238"/>
        </w:trPr>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Component</w:t>
            </w:r>
          </w:p>
        </w:tc>
        <w:tc>
          <w:tcPr>
            <w:tcW w:w="35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Description</w:t>
            </w: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Performance Considerations</w:t>
            </w:r>
          </w:p>
        </w:tc>
        <w:tc>
          <w:tcPr>
            <w:tcW w:w="32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Objectives</w:t>
            </w:r>
          </w:p>
        </w:tc>
      </w:tr>
      <w:tr>
        <w:trPr>
          <w:trHeight w:val="215"/>
        </w:trPr>
        <w:tc>
          <w:tcPr>
            <w:tcW w:w="1180" w:type="dxa"/>
            <w:vAlign w:val="bottom"/>
            <w:tcBorders>
              <w:right w:val="single" w:sz="8" w:color="auto"/>
            </w:tcBorders>
          </w:tcPr>
          <w:p>
            <w:pPr>
              <w:ind w:left="80"/>
              <w:spacing w:after="0"/>
              <w:rPr>
                <w:sz w:val="20"/>
                <w:szCs w:val="20"/>
                <w:color w:val="auto"/>
              </w:rPr>
            </w:pPr>
            <w:r>
              <w:rPr>
                <w:rFonts w:ascii="Arial" w:cs="Arial" w:eastAsia="Arial" w:hAnsi="Arial"/>
                <w:sz w:val="16"/>
                <w:szCs w:val="16"/>
                <w:b w:val="1"/>
                <w:bCs w:val="1"/>
                <w:color w:val="auto"/>
              </w:rPr>
              <w:t>Base Salary</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Fixed cash payment.</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Targeted at market median with adjustment</w:t>
            </w:r>
          </w:p>
        </w:tc>
        <w:tc>
          <w:tcPr>
            <w:tcW w:w="3220" w:type="dxa"/>
            <w:vAlign w:val="bottom"/>
          </w:tcPr>
          <w:p>
            <w:pPr>
              <w:ind w:left="60"/>
              <w:spacing w:after="0"/>
              <w:rPr>
                <w:sz w:val="20"/>
                <w:szCs w:val="20"/>
                <w:color w:val="auto"/>
              </w:rPr>
            </w:pPr>
            <w:r>
              <w:rPr>
                <w:rFonts w:ascii="Arial" w:cs="Arial" w:eastAsia="Arial" w:hAnsi="Arial"/>
                <w:sz w:val="16"/>
                <w:szCs w:val="16"/>
                <w:color w:val="auto"/>
              </w:rPr>
              <w:t>Provide competitive foundational pay.</w:t>
            </w:r>
          </w:p>
        </w:tc>
      </w:tr>
      <w:tr>
        <w:trPr>
          <w:trHeight w:val="186"/>
        </w:trPr>
        <w:tc>
          <w:tcPr>
            <w:tcW w:w="1180" w:type="dxa"/>
            <w:vAlign w:val="bottom"/>
            <w:tcBorders>
              <w:right w:val="single" w:sz="8" w:color="auto"/>
            </w:tcBorders>
          </w:tcPr>
          <w:p>
            <w:pPr>
              <w:spacing w:after="0"/>
              <w:rPr>
                <w:sz w:val="16"/>
                <w:szCs w:val="16"/>
                <w:color w:val="auto"/>
              </w:rPr>
            </w:pPr>
          </w:p>
        </w:tc>
        <w:tc>
          <w:tcPr>
            <w:tcW w:w="358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based on level of responsibility, experience</w:t>
            </w:r>
          </w:p>
        </w:tc>
        <w:tc>
          <w:tcPr>
            <w:tcW w:w="3220" w:type="dxa"/>
            <w:vAlign w:val="bottom"/>
          </w:tcPr>
          <w:p>
            <w:pPr>
              <w:spacing w:after="0"/>
              <w:rPr>
                <w:sz w:val="16"/>
                <w:szCs w:val="16"/>
                <w:color w:val="auto"/>
              </w:rPr>
            </w:pPr>
          </w:p>
        </w:tc>
      </w:tr>
      <w:tr>
        <w:trPr>
          <w:trHeight w:val="204"/>
        </w:trPr>
        <w:tc>
          <w:tcPr>
            <w:tcW w:w="1180" w:type="dxa"/>
            <w:vAlign w:val="bottom"/>
            <w:tcBorders>
              <w:bottom w:val="single" w:sz="8" w:color="949599"/>
              <w:right w:val="single" w:sz="8" w:color="auto"/>
            </w:tcBorders>
          </w:tcPr>
          <w:p>
            <w:pPr>
              <w:spacing w:after="0"/>
              <w:rPr>
                <w:sz w:val="17"/>
                <w:szCs w:val="17"/>
                <w:color w:val="auto"/>
              </w:rPr>
            </w:pPr>
          </w:p>
        </w:tc>
        <w:tc>
          <w:tcPr>
            <w:tcW w:w="3580" w:type="dxa"/>
            <w:vAlign w:val="bottom"/>
            <w:tcBorders>
              <w:bottom w:val="single" w:sz="8" w:color="949599"/>
              <w:right w:val="single" w:sz="8" w:color="auto"/>
            </w:tcBorders>
          </w:tcPr>
          <w:p>
            <w:pPr>
              <w:spacing w:after="0"/>
              <w:rPr>
                <w:sz w:val="17"/>
                <w:szCs w:val="17"/>
                <w:color w:val="auto"/>
              </w:rPr>
            </w:pPr>
          </w:p>
        </w:tc>
        <w:tc>
          <w:tcPr>
            <w:tcW w:w="3260" w:type="dxa"/>
            <w:vAlign w:val="bottom"/>
            <w:tcBorders>
              <w:bottom w:val="single" w:sz="8" w:color="949599"/>
              <w:right w:val="single" w:sz="8" w:color="auto"/>
            </w:tcBorders>
          </w:tcPr>
          <w:p>
            <w:pPr>
              <w:ind w:left="60"/>
              <w:spacing w:after="0"/>
              <w:rPr>
                <w:sz w:val="20"/>
                <w:szCs w:val="20"/>
                <w:color w:val="auto"/>
              </w:rPr>
            </w:pPr>
            <w:r>
              <w:rPr>
                <w:rFonts w:ascii="Arial" w:cs="Arial" w:eastAsia="Arial" w:hAnsi="Arial"/>
                <w:sz w:val="16"/>
                <w:szCs w:val="16"/>
                <w:color w:val="auto"/>
              </w:rPr>
              <w:t>and individual performance.</w:t>
            </w:r>
          </w:p>
        </w:tc>
        <w:tc>
          <w:tcPr>
            <w:tcW w:w="3220" w:type="dxa"/>
            <w:vAlign w:val="bottom"/>
            <w:tcBorders>
              <w:bottom w:val="single" w:sz="8" w:color="949599"/>
            </w:tcBorders>
          </w:tcPr>
          <w:p>
            <w:pPr>
              <w:spacing w:after="0"/>
              <w:rPr>
                <w:sz w:val="17"/>
                <w:szCs w:val="17"/>
                <w:color w:val="auto"/>
              </w:rPr>
            </w:pPr>
          </w:p>
        </w:tc>
      </w:tr>
      <w:tr>
        <w:trPr>
          <w:trHeight w:val="195"/>
        </w:trPr>
        <w:tc>
          <w:tcPr>
            <w:tcW w:w="1180" w:type="dxa"/>
            <w:vAlign w:val="bottom"/>
            <w:tcBorders>
              <w:right w:val="single" w:sz="8" w:color="auto"/>
            </w:tcBorders>
          </w:tcPr>
          <w:p>
            <w:pPr>
              <w:ind w:left="80"/>
              <w:spacing w:after="0"/>
              <w:rPr>
                <w:sz w:val="20"/>
                <w:szCs w:val="20"/>
                <w:color w:val="auto"/>
              </w:rPr>
            </w:pPr>
            <w:r>
              <w:rPr>
                <w:rFonts w:ascii="Arial" w:cs="Arial" w:eastAsia="Arial" w:hAnsi="Arial"/>
                <w:sz w:val="16"/>
                <w:szCs w:val="16"/>
                <w:b w:val="1"/>
                <w:bCs w:val="1"/>
                <w:color w:val="auto"/>
              </w:rPr>
              <w:t>Annual</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Short-term incentive, cash payment.</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Target payout references market median.</w:t>
            </w:r>
          </w:p>
        </w:tc>
        <w:tc>
          <w:tcPr>
            <w:tcW w:w="3220" w:type="dxa"/>
            <w:vAlign w:val="bottom"/>
          </w:tcPr>
          <w:p>
            <w:pPr>
              <w:ind w:left="60"/>
              <w:spacing w:after="0"/>
              <w:rPr>
                <w:sz w:val="20"/>
                <w:szCs w:val="20"/>
                <w:color w:val="auto"/>
              </w:rPr>
            </w:pPr>
            <w:r>
              <w:rPr>
                <w:rFonts w:ascii="Arial" w:cs="Arial" w:eastAsia="Arial" w:hAnsi="Arial"/>
                <w:sz w:val="16"/>
                <w:szCs w:val="16"/>
                <w:color w:val="auto"/>
              </w:rPr>
              <w:t>Promote achievement of short-term</w:t>
            </w:r>
          </w:p>
        </w:tc>
      </w:tr>
      <w:tr>
        <w:trPr>
          <w:trHeight w:val="206"/>
        </w:trPr>
        <w:tc>
          <w:tcPr>
            <w:tcW w:w="1180" w:type="dxa"/>
            <w:vAlign w:val="bottom"/>
            <w:tcBorders>
              <w:right w:val="single" w:sz="8" w:color="auto"/>
            </w:tcBorders>
          </w:tcPr>
          <w:p>
            <w:pPr>
              <w:ind w:left="80"/>
              <w:spacing w:after="0"/>
              <w:rPr>
                <w:sz w:val="20"/>
                <w:szCs w:val="20"/>
                <w:color w:val="auto"/>
              </w:rPr>
            </w:pPr>
            <w:r>
              <w:rPr>
                <w:rFonts w:ascii="Arial" w:cs="Arial" w:eastAsia="Arial" w:hAnsi="Arial"/>
                <w:sz w:val="16"/>
                <w:szCs w:val="16"/>
                <w:b w:val="1"/>
                <w:bCs w:val="1"/>
                <w:color w:val="auto"/>
              </w:rPr>
              <w:t>Incentive</w:t>
            </w:r>
          </w:p>
        </w:tc>
        <w:tc>
          <w:tcPr>
            <w:tcW w:w="358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Actual payout driven by adjusted EPS. The</w:t>
            </w:r>
          </w:p>
        </w:tc>
        <w:tc>
          <w:tcPr>
            <w:tcW w:w="3220" w:type="dxa"/>
            <w:vAlign w:val="bottom"/>
          </w:tcPr>
          <w:p>
            <w:pPr>
              <w:ind w:left="60"/>
              <w:spacing w:after="0"/>
              <w:rPr>
                <w:sz w:val="20"/>
                <w:szCs w:val="20"/>
                <w:color w:val="auto"/>
              </w:rPr>
            </w:pPr>
            <w:r>
              <w:rPr>
                <w:rFonts w:ascii="Arial" w:cs="Arial" w:eastAsia="Arial" w:hAnsi="Arial"/>
                <w:sz w:val="16"/>
                <w:szCs w:val="16"/>
                <w:color w:val="auto"/>
              </w:rPr>
              <w:t>financial and strategic objectives.</w:t>
            </w:r>
          </w:p>
        </w:tc>
      </w:tr>
      <w:tr>
        <w:trPr>
          <w:trHeight w:val="186"/>
        </w:trPr>
        <w:tc>
          <w:tcPr>
            <w:tcW w:w="1180" w:type="dxa"/>
            <w:vAlign w:val="bottom"/>
            <w:tcBorders>
              <w:right w:val="single" w:sz="8" w:color="auto"/>
            </w:tcBorders>
          </w:tcPr>
          <w:p>
            <w:pPr>
              <w:spacing w:after="0"/>
              <w:rPr>
                <w:sz w:val="16"/>
                <w:szCs w:val="16"/>
                <w:color w:val="auto"/>
              </w:rPr>
            </w:pPr>
          </w:p>
        </w:tc>
        <w:tc>
          <w:tcPr>
            <w:tcW w:w="358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Committee has discretion to adjust the</w:t>
            </w:r>
          </w:p>
        </w:tc>
        <w:tc>
          <w:tcPr>
            <w:tcW w:w="3220" w:type="dxa"/>
            <w:vAlign w:val="bottom"/>
          </w:tcPr>
          <w:p>
            <w:pPr>
              <w:spacing w:after="0"/>
              <w:rPr>
                <w:sz w:val="16"/>
                <w:szCs w:val="16"/>
                <w:color w:val="auto"/>
              </w:rPr>
            </w:pPr>
          </w:p>
        </w:tc>
      </w:tr>
      <w:tr>
        <w:trPr>
          <w:trHeight w:val="186"/>
        </w:trPr>
        <w:tc>
          <w:tcPr>
            <w:tcW w:w="1180" w:type="dxa"/>
            <w:vAlign w:val="bottom"/>
            <w:tcBorders>
              <w:right w:val="single" w:sz="8" w:color="auto"/>
            </w:tcBorders>
          </w:tcPr>
          <w:p>
            <w:pPr>
              <w:spacing w:after="0"/>
              <w:rPr>
                <w:sz w:val="16"/>
                <w:szCs w:val="16"/>
                <w:color w:val="auto"/>
              </w:rPr>
            </w:pPr>
          </w:p>
        </w:tc>
        <w:tc>
          <w:tcPr>
            <w:tcW w:w="358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Annual Incentive Plan upward or downward</w:t>
            </w:r>
          </w:p>
        </w:tc>
        <w:tc>
          <w:tcPr>
            <w:tcW w:w="3220" w:type="dxa"/>
            <w:vAlign w:val="bottom"/>
          </w:tcPr>
          <w:p>
            <w:pPr>
              <w:spacing w:after="0"/>
              <w:rPr>
                <w:sz w:val="16"/>
                <w:szCs w:val="16"/>
                <w:color w:val="auto"/>
              </w:rPr>
            </w:pPr>
          </w:p>
        </w:tc>
      </w:tr>
      <w:tr>
        <w:trPr>
          <w:trHeight w:val="186"/>
        </w:trPr>
        <w:tc>
          <w:tcPr>
            <w:tcW w:w="1180" w:type="dxa"/>
            <w:vAlign w:val="bottom"/>
            <w:tcBorders>
              <w:right w:val="single" w:sz="8" w:color="auto"/>
            </w:tcBorders>
          </w:tcPr>
          <w:p>
            <w:pPr>
              <w:spacing w:after="0"/>
              <w:rPr>
                <w:sz w:val="16"/>
                <w:szCs w:val="16"/>
                <w:color w:val="auto"/>
              </w:rPr>
            </w:pPr>
          </w:p>
        </w:tc>
        <w:tc>
          <w:tcPr>
            <w:tcW w:w="358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for factors such as safety, diversity,</w:t>
            </w:r>
          </w:p>
        </w:tc>
        <w:tc>
          <w:tcPr>
            <w:tcW w:w="3220" w:type="dxa"/>
            <w:vAlign w:val="bottom"/>
          </w:tcPr>
          <w:p>
            <w:pPr>
              <w:spacing w:after="0"/>
              <w:rPr>
                <w:sz w:val="16"/>
                <w:szCs w:val="16"/>
                <w:color w:val="auto"/>
              </w:rPr>
            </w:pPr>
          </w:p>
        </w:tc>
      </w:tr>
      <w:tr>
        <w:trPr>
          <w:trHeight w:val="186"/>
        </w:trPr>
        <w:tc>
          <w:tcPr>
            <w:tcW w:w="1180" w:type="dxa"/>
            <w:vAlign w:val="bottom"/>
            <w:tcBorders>
              <w:right w:val="single" w:sz="8" w:color="auto"/>
            </w:tcBorders>
          </w:tcPr>
          <w:p>
            <w:pPr>
              <w:spacing w:after="0"/>
              <w:rPr>
                <w:sz w:val="16"/>
                <w:szCs w:val="16"/>
                <w:color w:val="auto"/>
              </w:rPr>
            </w:pPr>
          </w:p>
        </w:tc>
        <w:tc>
          <w:tcPr>
            <w:tcW w:w="358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sustainability and</w:t>
            </w:r>
          </w:p>
        </w:tc>
        <w:tc>
          <w:tcPr>
            <w:tcW w:w="3220" w:type="dxa"/>
            <w:vAlign w:val="bottom"/>
          </w:tcPr>
          <w:p>
            <w:pPr>
              <w:spacing w:after="0"/>
              <w:rPr>
                <w:sz w:val="16"/>
                <w:szCs w:val="16"/>
                <w:color w:val="auto"/>
              </w:rPr>
            </w:pPr>
          </w:p>
        </w:tc>
      </w:tr>
      <w:tr>
        <w:trPr>
          <w:trHeight w:val="204"/>
        </w:trPr>
        <w:tc>
          <w:tcPr>
            <w:tcW w:w="1180" w:type="dxa"/>
            <w:vAlign w:val="bottom"/>
            <w:tcBorders>
              <w:bottom w:val="single" w:sz="8" w:color="949599"/>
              <w:right w:val="single" w:sz="8" w:color="auto"/>
            </w:tcBorders>
          </w:tcPr>
          <w:p>
            <w:pPr>
              <w:spacing w:after="0"/>
              <w:rPr>
                <w:sz w:val="17"/>
                <w:szCs w:val="17"/>
                <w:color w:val="auto"/>
              </w:rPr>
            </w:pPr>
          </w:p>
        </w:tc>
        <w:tc>
          <w:tcPr>
            <w:tcW w:w="3580" w:type="dxa"/>
            <w:vAlign w:val="bottom"/>
            <w:tcBorders>
              <w:bottom w:val="single" w:sz="8" w:color="949599"/>
              <w:right w:val="single" w:sz="8" w:color="auto"/>
            </w:tcBorders>
          </w:tcPr>
          <w:p>
            <w:pPr>
              <w:spacing w:after="0"/>
              <w:rPr>
                <w:sz w:val="17"/>
                <w:szCs w:val="17"/>
                <w:color w:val="auto"/>
              </w:rPr>
            </w:pPr>
          </w:p>
        </w:tc>
        <w:tc>
          <w:tcPr>
            <w:tcW w:w="3260" w:type="dxa"/>
            <w:vAlign w:val="bottom"/>
            <w:tcBorders>
              <w:bottom w:val="single" w:sz="8" w:color="949599"/>
              <w:right w:val="single" w:sz="8" w:color="auto"/>
            </w:tcBorders>
          </w:tcPr>
          <w:p>
            <w:pPr>
              <w:ind w:left="60"/>
              <w:spacing w:after="0"/>
              <w:rPr>
                <w:sz w:val="20"/>
                <w:szCs w:val="20"/>
                <w:color w:val="auto"/>
              </w:rPr>
            </w:pPr>
            <w:r>
              <w:rPr>
                <w:rFonts w:ascii="Arial" w:cs="Arial" w:eastAsia="Arial" w:hAnsi="Arial"/>
                <w:sz w:val="16"/>
                <w:szCs w:val="16"/>
                <w:color w:val="auto"/>
              </w:rPr>
              <w:t>environmental performance.</w:t>
            </w:r>
          </w:p>
        </w:tc>
        <w:tc>
          <w:tcPr>
            <w:tcW w:w="3220" w:type="dxa"/>
            <w:vAlign w:val="bottom"/>
            <w:tcBorders>
              <w:bottom w:val="single" w:sz="8" w:color="949599"/>
            </w:tcBorders>
          </w:tcPr>
          <w:p>
            <w:pPr>
              <w:spacing w:after="0"/>
              <w:rPr>
                <w:sz w:val="17"/>
                <w:szCs w:val="17"/>
                <w:color w:val="auto"/>
              </w:rPr>
            </w:pPr>
          </w:p>
        </w:tc>
      </w:tr>
      <w:tr>
        <w:trPr>
          <w:trHeight w:val="195"/>
        </w:trPr>
        <w:tc>
          <w:tcPr>
            <w:tcW w:w="1180" w:type="dxa"/>
            <w:vAlign w:val="bottom"/>
            <w:tcBorders>
              <w:right w:val="single" w:sz="8" w:color="auto"/>
            </w:tcBorders>
          </w:tcPr>
          <w:p>
            <w:pPr>
              <w:ind w:left="80"/>
              <w:spacing w:after="0"/>
              <w:rPr>
                <w:sz w:val="20"/>
                <w:szCs w:val="20"/>
                <w:color w:val="auto"/>
              </w:rPr>
            </w:pPr>
            <w:r>
              <w:rPr>
                <w:rFonts w:ascii="Arial" w:cs="Arial" w:eastAsia="Arial" w:hAnsi="Arial"/>
                <w:sz w:val="16"/>
                <w:szCs w:val="16"/>
                <w:b w:val="1"/>
                <w:bCs w:val="1"/>
                <w:color w:val="auto"/>
              </w:rPr>
              <w:t>Performance</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Deferred stock units that pay out upon</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Target value based on market median for</w:t>
            </w:r>
          </w:p>
        </w:tc>
        <w:tc>
          <w:tcPr>
            <w:tcW w:w="3220" w:type="dxa"/>
            <w:vAlign w:val="bottom"/>
          </w:tcPr>
          <w:p>
            <w:pPr>
              <w:ind w:left="60"/>
              <w:spacing w:after="0"/>
              <w:rPr>
                <w:sz w:val="20"/>
                <w:szCs w:val="20"/>
                <w:color w:val="auto"/>
              </w:rPr>
            </w:pPr>
            <w:r>
              <w:rPr>
                <w:rFonts w:ascii="Arial" w:cs="Arial" w:eastAsia="Arial" w:hAnsi="Arial"/>
                <w:sz w:val="16"/>
                <w:szCs w:val="16"/>
                <w:color w:val="auto"/>
              </w:rPr>
              <w:t>Promote achievement of longer-term</w:t>
            </w:r>
          </w:p>
        </w:tc>
      </w:tr>
      <w:tr>
        <w:trPr>
          <w:trHeight w:val="206"/>
        </w:trPr>
        <w:tc>
          <w:tcPr>
            <w:tcW w:w="1180" w:type="dxa"/>
            <w:vAlign w:val="bottom"/>
            <w:tcBorders>
              <w:right w:val="single" w:sz="8" w:color="auto"/>
            </w:tcBorders>
          </w:tcPr>
          <w:p>
            <w:pPr>
              <w:ind w:left="80"/>
              <w:spacing w:after="0"/>
              <w:rPr>
                <w:sz w:val="20"/>
                <w:szCs w:val="20"/>
                <w:color w:val="auto"/>
              </w:rPr>
            </w:pPr>
            <w:r>
              <w:rPr>
                <w:rFonts w:ascii="Arial" w:cs="Arial" w:eastAsia="Arial" w:hAnsi="Arial"/>
                <w:sz w:val="16"/>
                <w:szCs w:val="16"/>
                <w:b w:val="1"/>
                <w:bCs w:val="1"/>
                <w:color w:val="auto"/>
              </w:rPr>
              <w:t>Shares</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achievement of performance targets. Delivered</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long-term incentives. Actual payout based</w:t>
            </w:r>
          </w:p>
        </w:tc>
        <w:tc>
          <w:tcPr>
            <w:tcW w:w="3220" w:type="dxa"/>
            <w:vAlign w:val="bottom"/>
          </w:tcPr>
          <w:p>
            <w:pPr>
              <w:ind w:left="60"/>
              <w:spacing w:after="0"/>
              <w:rPr>
                <w:sz w:val="20"/>
                <w:szCs w:val="20"/>
                <w:color w:val="auto"/>
              </w:rPr>
            </w:pPr>
            <w:r>
              <w:rPr>
                <w:rFonts w:ascii="Arial" w:cs="Arial" w:eastAsia="Arial" w:hAnsi="Arial"/>
                <w:sz w:val="16"/>
                <w:szCs w:val="16"/>
                <w:color w:val="auto"/>
              </w:rPr>
              <w:t>financial objectives; encourage current</w:t>
            </w:r>
          </w:p>
        </w:tc>
      </w:tr>
      <w:tr>
        <w:trPr>
          <w:trHeight w:val="186"/>
        </w:trPr>
        <w:tc>
          <w:tcPr>
            <w:tcW w:w="1180" w:type="dxa"/>
            <w:vAlign w:val="bottom"/>
            <w:tcBorders>
              <w:right w:val="single" w:sz="8" w:color="auto"/>
            </w:tcBorders>
          </w:tcPr>
          <w:p>
            <w:pPr>
              <w:spacing w:after="0"/>
              <w:rPr>
                <w:sz w:val="16"/>
                <w:szCs w:val="16"/>
                <w:color w:val="auto"/>
              </w:rPr>
            </w:pP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in shares of stock with dividend equivalents also</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on relative TSR over three-year</w:t>
            </w:r>
          </w:p>
        </w:tc>
        <w:tc>
          <w:tcPr>
            <w:tcW w:w="3220" w:type="dxa"/>
            <w:vAlign w:val="bottom"/>
          </w:tcPr>
          <w:p>
            <w:pPr>
              <w:ind w:left="60"/>
              <w:spacing w:after="0"/>
              <w:rPr>
                <w:sz w:val="20"/>
                <w:szCs w:val="20"/>
                <w:color w:val="auto"/>
              </w:rPr>
            </w:pPr>
            <w:r>
              <w:rPr>
                <w:rFonts w:ascii="Arial" w:cs="Arial" w:eastAsia="Arial" w:hAnsi="Arial"/>
                <w:sz w:val="16"/>
                <w:szCs w:val="16"/>
                <w:color w:val="auto"/>
              </w:rPr>
              <w:t>decisions that promote long-term value</w:t>
            </w:r>
          </w:p>
        </w:tc>
      </w:tr>
      <w:tr>
        <w:trPr>
          <w:trHeight w:val="186"/>
        </w:trPr>
        <w:tc>
          <w:tcPr>
            <w:tcW w:w="1180" w:type="dxa"/>
            <w:vAlign w:val="bottom"/>
            <w:tcBorders>
              <w:right w:val="single" w:sz="8" w:color="auto"/>
            </w:tcBorders>
          </w:tcPr>
          <w:p>
            <w:pPr>
              <w:spacing w:after="0"/>
              <w:rPr>
                <w:sz w:val="16"/>
                <w:szCs w:val="16"/>
                <w:color w:val="auto"/>
              </w:rPr>
            </w:pP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payable upon vesting.</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performance period.</w:t>
            </w:r>
          </w:p>
        </w:tc>
        <w:tc>
          <w:tcPr>
            <w:tcW w:w="3220" w:type="dxa"/>
            <w:vAlign w:val="bottom"/>
          </w:tcPr>
          <w:p>
            <w:pPr>
              <w:ind w:left="60"/>
              <w:spacing w:after="0"/>
              <w:rPr>
                <w:sz w:val="20"/>
                <w:szCs w:val="20"/>
                <w:color w:val="auto"/>
              </w:rPr>
            </w:pPr>
            <w:r>
              <w:rPr>
                <w:rFonts w:ascii="Arial" w:cs="Arial" w:eastAsia="Arial" w:hAnsi="Arial"/>
                <w:sz w:val="16"/>
                <w:szCs w:val="16"/>
                <w:color w:val="auto"/>
              </w:rPr>
              <w:t>creation; align executive officers’ interests</w:t>
            </w:r>
          </w:p>
        </w:tc>
      </w:tr>
      <w:tr>
        <w:trPr>
          <w:trHeight w:val="204"/>
        </w:trPr>
        <w:tc>
          <w:tcPr>
            <w:tcW w:w="1180" w:type="dxa"/>
            <w:vAlign w:val="bottom"/>
            <w:tcBorders>
              <w:bottom w:val="single" w:sz="8" w:color="949599"/>
              <w:right w:val="single" w:sz="8" w:color="auto"/>
            </w:tcBorders>
          </w:tcPr>
          <w:p>
            <w:pPr>
              <w:spacing w:after="0"/>
              <w:rPr>
                <w:sz w:val="17"/>
                <w:szCs w:val="17"/>
                <w:color w:val="auto"/>
              </w:rPr>
            </w:pPr>
          </w:p>
        </w:tc>
        <w:tc>
          <w:tcPr>
            <w:tcW w:w="3580" w:type="dxa"/>
            <w:vAlign w:val="bottom"/>
            <w:tcBorders>
              <w:bottom w:val="single" w:sz="8" w:color="949599"/>
              <w:right w:val="single" w:sz="8" w:color="auto"/>
            </w:tcBorders>
          </w:tcPr>
          <w:p>
            <w:pPr>
              <w:spacing w:after="0"/>
              <w:rPr>
                <w:sz w:val="17"/>
                <w:szCs w:val="17"/>
                <w:color w:val="auto"/>
              </w:rPr>
            </w:pPr>
          </w:p>
        </w:tc>
        <w:tc>
          <w:tcPr>
            <w:tcW w:w="3260" w:type="dxa"/>
            <w:vAlign w:val="bottom"/>
            <w:tcBorders>
              <w:bottom w:val="single" w:sz="8" w:color="949599"/>
              <w:right w:val="single" w:sz="8" w:color="auto"/>
            </w:tcBorders>
          </w:tcPr>
          <w:p>
            <w:pPr>
              <w:spacing w:after="0"/>
              <w:rPr>
                <w:sz w:val="17"/>
                <w:szCs w:val="17"/>
                <w:color w:val="auto"/>
              </w:rPr>
            </w:pPr>
          </w:p>
        </w:tc>
        <w:tc>
          <w:tcPr>
            <w:tcW w:w="3220" w:type="dxa"/>
            <w:vAlign w:val="bottom"/>
            <w:tcBorders>
              <w:bottom w:val="single" w:sz="8" w:color="949599"/>
            </w:tcBorders>
          </w:tcPr>
          <w:p>
            <w:pPr>
              <w:ind w:left="60"/>
              <w:spacing w:after="0"/>
              <w:rPr>
                <w:sz w:val="20"/>
                <w:szCs w:val="20"/>
                <w:color w:val="auto"/>
              </w:rPr>
            </w:pPr>
            <w:r>
              <w:rPr>
                <w:rFonts w:ascii="Arial" w:cs="Arial" w:eastAsia="Arial" w:hAnsi="Arial"/>
                <w:sz w:val="16"/>
                <w:szCs w:val="16"/>
                <w:color w:val="auto"/>
              </w:rPr>
              <w:t>with shareholder returns.</w:t>
            </w:r>
          </w:p>
        </w:tc>
      </w:tr>
      <w:tr>
        <w:trPr>
          <w:trHeight w:val="195"/>
        </w:trPr>
        <w:tc>
          <w:tcPr>
            <w:tcW w:w="1180" w:type="dxa"/>
            <w:vAlign w:val="bottom"/>
            <w:tcBorders>
              <w:right w:val="single" w:sz="8" w:color="auto"/>
            </w:tcBorders>
          </w:tcPr>
          <w:p>
            <w:pPr>
              <w:ind w:left="80"/>
              <w:spacing w:after="0"/>
              <w:rPr>
                <w:sz w:val="20"/>
                <w:szCs w:val="20"/>
                <w:color w:val="auto"/>
              </w:rPr>
            </w:pPr>
            <w:r>
              <w:rPr>
                <w:rFonts w:ascii="Arial" w:cs="Arial" w:eastAsia="Arial" w:hAnsi="Arial"/>
                <w:sz w:val="16"/>
                <w:szCs w:val="16"/>
                <w:b w:val="1"/>
                <w:bCs w:val="1"/>
                <w:color w:val="auto"/>
              </w:rPr>
              <w:t>Restricted</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Deferred stock units that vest over a four-year</w:t>
            </w:r>
          </w:p>
        </w:tc>
        <w:tc>
          <w:tcPr>
            <w:tcW w:w="32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Target value based on market median for</w:t>
            </w:r>
          </w:p>
        </w:tc>
        <w:tc>
          <w:tcPr>
            <w:tcW w:w="3220" w:type="dxa"/>
            <w:vAlign w:val="bottom"/>
          </w:tcPr>
          <w:p>
            <w:pPr>
              <w:ind w:left="60"/>
              <w:spacing w:after="0"/>
              <w:rPr>
                <w:sz w:val="20"/>
                <w:szCs w:val="20"/>
                <w:color w:val="auto"/>
              </w:rPr>
            </w:pPr>
            <w:r>
              <w:rPr>
                <w:rFonts w:ascii="Arial" w:cs="Arial" w:eastAsia="Arial" w:hAnsi="Arial"/>
                <w:sz w:val="16"/>
                <w:szCs w:val="16"/>
                <w:color w:val="auto"/>
              </w:rPr>
              <w:t>Retain executive officers; align executive</w:t>
            </w:r>
          </w:p>
        </w:tc>
      </w:tr>
      <w:tr>
        <w:trPr>
          <w:trHeight w:val="206"/>
        </w:trPr>
        <w:tc>
          <w:tcPr>
            <w:tcW w:w="1180" w:type="dxa"/>
            <w:vAlign w:val="bottom"/>
            <w:tcBorders>
              <w:right w:val="single" w:sz="8" w:color="auto"/>
            </w:tcBorders>
          </w:tcPr>
          <w:p>
            <w:pPr>
              <w:ind w:left="80"/>
              <w:spacing w:after="0"/>
              <w:rPr>
                <w:sz w:val="20"/>
                <w:szCs w:val="20"/>
                <w:color w:val="auto"/>
              </w:rPr>
            </w:pPr>
            <w:r>
              <w:rPr>
                <w:rFonts w:ascii="Arial" w:cs="Arial" w:eastAsia="Arial" w:hAnsi="Arial"/>
                <w:sz w:val="16"/>
                <w:szCs w:val="16"/>
                <w:b w:val="1"/>
                <w:bCs w:val="1"/>
                <w:color w:val="auto"/>
              </w:rPr>
              <w:t>Stock Units</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period and pay dividend equivalents on vesting.</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long-term incentives. Actual value</w:t>
            </w:r>
          </w:p>
        </w:tc>
        <w:tc>
          <w:tcPr>
            <w:tcW w:w="3220" w:type="dxa"/>
            <w:vAlign w:val="bottom"/>
          </w:tcPr>
          <w:p>
            <w:pPr>
              <w:ind w:left="60"/>
              <w:spacing w:after="0"/>
              <w:rPr>
                <w:sz w:val="20"/>
                <w:szCs w:val="20"/>
                <w:color w:val="auto"/>
              </w:rPr>
            </w:pPr>
            <w:r>
              <w:rPr>
                <w:rFonts w:ascii="Arial" w:cs="Arial" w:eastAsia="Arial" w:hAnsi="Arial"/>
                <w:sz w:val="16"/>
                <w:szCs w:val="16"/>
                <w:color w:val="auto"/>
              </w:rPr>
              <w:t>officers’ interests with shareholder returns.</w:t>
            </w:r>
          </w:p>
        </w:tc>
      </w:tr>
      <w:tr>
        <w:trPr>
          <w:trHeight w:val="186"/>
        </w:trPr>
        <w:tc>
          <w:tcPr>
            <w:tcW w:w="1180" w:type="dxa"/>
            <w:vAlign w:val="bottom"/>
            <w:tcBorders>
              <w:right w:val="single" w:sz="8" w:color="auto"/>
            </w:tcBorders>
          </w:tcPr>
          <w:p>
            <w:pPr>
              <w:spacing w:after="0"/>
              <w:rPr>
                <w:sz w:val="16"/>
                <w:szCs w:val="16"/>
                <w:color w:val="auto"/>
              </w:rPr>
            </w:pPr>
          </w:p>
        </w:tc>
        <w:tc>
          <w:tcPr>
            <w:tcW w:w="358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determined by shareholder returns during</w:t>
            </w:r>
          </w:p>
        </w:tc>
        <w:tc>
          <w:tcPr>
            <w:tcW w:w="3220" w:type="dxa"/>
            <w:vAlign w:val="bottom"/>
          </w:tcPr>
          <w:p>
            <w:pPr>
              <w:spacing w:after="0"/>
              <w:rPr>
                <w:sz w:val="16"/>
                <w:szCs w:val="16"/>
                <w:color w:val="auto"/>
              </w:rPr>
            </w:pPr>
          </w:p>
        </w:tc>
      </w:tr>
      <w:tr>
        <w:trPr>
          <w:trHeight w:val="218"/>
        </w:trPr>
        <w:tc>
          <w:tcPr>
            <w:tcW w:w="1180" w:type="dxa"/>
            <w:vAlign w:val="bottom"/>
            <w:tcBorders>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vesting period.</w:t>
            </w:r>
          </w:p>
        </w:tc>
        <w:tc>
          <w:tcPr>
            <w:tcW w:w="3220" w:type="dxa"/>
            <w:vAlign w:val="bottom"/>
            <w:tcBorders>
              <w:bottom w:val="single" w:sz="8" w:color="auto"/>
            </w:tcBorders>
          </w:tcPr>
          <w:p>
            <w:pPr>
              <w:spacing w:after="0"/>
              <w:rPr>
                <w:sz w:val="18"/>
                <w:szCs w:val="18"/>
                <w:color w:val="auto"/>
              </w:rPr>
            </w:pPr>
          </w:p>
        </w:tc>
      </w:tr>
    </w:tbl>
    <w:p>
      <w:pPr>
        <w:spacing w:after="0" w:line="162" w:lineRule="exact"/>
        <w:rPr>
          <w:sz w:val="20"/>
          <w:szCs w:val="20"/>
          <w:color w:val="auto"/>
        </w:rPr>
      </w:pPr>
    </w:p>
    <w:p>
      <w:pPr>
        <w:ind w:right="200"/>
        <w:spacing w:after="0" w:line="245" w:lineRule="auto"/>
        <w:rPr>
          <w:sz w:val="20"/>
          <w:szCs w:val="20"/>
          <w:color w:val="auto"/>
        </w:rPr>
      </w:pPr>
      <w:r>
        <w:rPr>
          <w:rFonts w:ascii="Arial" w:cs="Arial" w:eastAsia="Arial" w:hAnsi="Arial"/>
          <w:sz w:val="16"/>
          <w:szCs w:val="16"/>
          <w:color w:val="auto"/>
        </w:rPr>
        <w:t>The Committee annually reviews and establishes the performance measures, target goals and payout schedules used for our Annual Incentive Plan and the performance share component of awards granted under our Long-Term Incentive Plan. In determining actual performance against these metrics, the Committee decides whether to include or exclude the impact of items reported in the Company’s financial statements that may not be reflective of underlying operating results for the current or a prior year. Adjustments from reported earnings are intended to avoid artificial inflation or deflation of awards due to unusual or non-operational items in the applicable period and align pay outcomes with how the Committee and management view the performance of the business holistically.</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009A4B"/>
        </w:rPr>
        <w:t>Setting Total Direct Compensation Levels for Fiscal 2021</w:t>
      </w:r>
    </w:p>
    <w:p>
      <w:pPr>
        <w:spacing w:after="0" w:line="219" w:lineRule="exact"/>
        <w:rPr>
          <w:sz w:val="20"/>
          <w:szCs w:val="20"/>
          <w:color w:val="auto"/>
        </w:rPr>
      </w:pPr>
    </w:p>
    <w:p>
      <w:pPr>
        <w:ind w:right="160"/>
        <w:spacing w:after="0" w:line="245" w:lineRule="auto"/>
        <w:rPr>
          <w:sz w:val="20"/>
          <w:szCs w:val="20"/>
          <w:color w:val="auto"/>
        </w:rPr>
      </w:pPr>
      <w:r>
        <w:rPr>
          <w:rFonts w:ascii="Arial" w:cs="Arial" w:eastAsia="Arial" w:hAnsi="Arial"/>
          <w:sz w:val="16"/>
          <w:szCs w:val="16"/>
          <w:color w:val="auto"/>
        </w:rPr>
        <w:t>Overall, the Committee sought to provide total direct compensation target opportunity (base salary, target annual incentive award and long-term incentive award value) for the executive officers that approximated the projected median level for similar positions in the Survey Reference Group. In the case of the CEO and CFO, the projected median level is derived from two data sources—the Survey Reference Group and the Peer Reference Group, each weighted equally. Additional information regarding these peer groups is provided on pages 44-45. Consistent with industry practice, the Company considers total direct compensation within 15% of median to be competitive with market. This margin allows for year-to-year swings in data than can occur based on a number of factors unrelated to underlying compensation strategy.</w:t>
      </w:r>
    </w:p>
    <w:p>
      <w:pPr>
        <w:spacing w:after="0" w:line="151"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The Company utilizes two peer groups for benchmarking CEO and CFO compensation to ensure that the compensation is reasonably aligned with compensation provided by companies we compete against for talent. The Survey Reference Group is comprised of industrial companies that are similar in revenue size to the Company to benchmark specific pay levels. The Peer Reference Group is comprised of peer chemical and industrial companies and is also used to determine the Company’s relative TSR performance for purposes of performance share payouts. Total direct compensation target opportunities may be established at greater or lesser levels for individual executive officers based on performance factors, experience in the position, retention and succession planning considerations or year-to-year swings in the market reference data.</w:t>
      </w:r>
    </w:p>
    <w:p>
      <w:pPr>
        <w:spacing w:after="0" w:line="136" w:lineRule="exact"/>
        <w:rPr>
          <w:sz w:val="20"/>
          <w:szCs w:val="20"/>
          <w:color w:val="auto"/>
        </w:rPr>
      </w:pPr>
    </w:p>
    <w:p>
      <w:pPr>
        <w:ind w:left="9480"/>
        <w:spacing w:after="0"/>
        <w:tabs>
          <w:tab w:leader="none" w:pos="1106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7155180" cy="209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auto"/>
        </w:rPr>
        <w:t>For fiscal 2021, total direct compensation opportunities established by the Committee for the named executive officers (excluding the CEO as described below) approximated the market median. Within the total direct compensation opportunity for each executive officer, individual components of compensation may be greater or less than the market median because the Committee is primarily concerned with the competitiveness of the entire program versus any one element of compensation. Compensation realized by each executive officer may vary significantly from target opportunity based on Company or individual performance and Company stock price fluctuation.</w:t>
      </w:r>
    </w:p>
    <w:p>
      <w:pPr>
        <w:spacing w:after="0" w:line="152"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As part of the process for determining total direct compensation, the Committee also reviews tally sheets, which detail the value, earnings and accumulated potential payout of each element of an executive officer’s compensation in various employment termination scenarios. The tally sheets help the Committee consider the retention value of an executive officer’s accumulated compensation package, compare executive officers’ accumulated compensation and understand the impact of compensation decisions on various termination of employment scenarios.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7134225" cy="190182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134225" cy="1901825"/>
                    </a:xfrm>
                    <a:prstGeom prst="rect">
                      <a:avLst/>
                    </a:prstGeom>
                    <a:noFill/>
                  </pic:spPr>
                </pic:pic>
              </a:graphicData>
            </a:graphic>
          </wp:anchor>
        </w:drawing>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Mr. Ghasemi</w:t>
      </w:r>
    </w:p>
    <w:p>
      <w:pPr>
        <w:spacing w:after="0" w:line="182" w:lineRule="exact"/>
        <w:rPr>
          <w:sz w:val="20"/>
          <w:szCs w:val="20"/>
          <w:color w:val="auto"/>
        </w:rPr>
      </w:pPr>
    </w:p>
    <w:p>
      <w:pPr>
        <w:ind w:left="120" w:right="160"/>
        <w:spacing w:after="0" w:line="244" w:lineRule="auto"/>
        <w:rPr>
          <w:sz w:val="20"/>
          <w:szCs w:val="20"/>
          <w:color w:val="auto"/>
        </w:rPr>
      </w:pPr>
      <w:r>
        <w:rPr>
          <w:rFonts w:ascii="Arial" w:cs="Arial" w:eastAsia="Arial" w:hAnsi="Arial"/>
          <w:sz w:val="16"/>
          <w:szCs w:val="16"/>
          <w:color w:val="auto"/>
        </w:rPr>
        <w:t>Mr. Ghasemi’s Employment Agreement was amended on May 21, 2020 to extend its term from September 30, 2022 to September 30, 2025. If Mr. Ghasemi’s employment were to terminate after September 30, 2023 without “cause” or for “good reason”, as each such term is defined in the Employment Agreement, any cash severance payment he is entitled to receive would be prorated based on the number of days remaining from the last day of his employment until September 30, 2025. The Amendment did not otherwise affect the terms of Mr. Ghasemi’s employment with the Company or his compensation. The Employment Agreement provides that Mr. Ghasemi receive a minimum annual base salary of $1,200,000 and participate in the Company’s Annual Incentive Plan with a minimum target annual incentive award equal to 150% of his base salary with actual awards to be determined by the Committee. Under the Employment Agreement, Mr. Ghasemi also is entitled to receive minimum annual equity compensation awards under the Company’s Long-Term Incentive Plan with a grant date value (determined under the Company’s normal valuation practices) of $7,000,000, apportioned in a manner consistent with the allocation for other executive officers.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At the Committee’s direction, WTW performed a competitive assessment of Mr. Ghasemi’s total direct compensation at the beginning of fiscal 2021. Taking</w:t>
      </w:r>
    </w:p>
    <w:p>
      <w:pPr>
        <w:ind w:left="120" w:right="300"/>
        <w:spacing w:after="0" w:line="209" w:lineRule="auto"/>
        <w:rPr>
          <w:sz w:val="20"/>
          <w:szCs w:val="20"/>
          <w:color w:val="auto"/>
        </w:rPr>
      </w:pPr>
      <w:r>
        <w:rPr>
          <w:rFonts w:ascii="Arial" w:cs="Arial" w:eastAsia="Arial" w:hAnsi="Arial"/>
          <w:sz w:val="16"/>
          <w:szCs w:val="16"/>
          <w:color w:val="auto"/>
        </w:rPr>
        <w:t>into consideration WTW’s assessment, the Committee determined that his target total direct compensation should remain positioned at the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for the Peer Reference Group to reflect Mr. Ghasemi’s superior performance during his tenure with Air Products.</w:t>
      </w:r>
    </w:p>
    <w:p>
      <w:pPr>
        <w:spacing w:after="0" w:line="279" w:lineRule="exact"/>
        <w:rPr>
          <w:sz w:val="20"/>
          <w:szCs w:val="20"/>
          <w:color w:val="auto"/>
        </w:rPr>
      </w:pPr>
    </w:p>
    <w:p>
      <w:pPr>
        <w:spacing w:after="0"/>
        <w:rPr>
          <w:sz w:val="20"/>
          <w:szCs w:val="20"/>
          <w:color w:val="auto"/>
        </w:rPr>
      </w:pPr>
      <w:r>
        <w:rPr>
          <w:sz w:val="1"/>
          <w:szCs w:val="1"/>
          <w:color w:val="auto"/>
        </w:rPr>
        <w:drawing>
          <wp:inline distT="0" distB="0" distL="0" distR="0">
            <wp:extent cx="295910" cy="295910"/>
            <wp:effectExtent l="0" t="0" r="0" b="0"/>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295910" cy="295910"/>
                    </a:xfrm>
                    <a:prstGeom prst="rect">
                      <a:avLst/>
                    </a:prstGeom>
                    <a:noFill/>
                    <a:ln>
                      <a:noFill/>
                    </a:ln>
                  </pic:spPr>
                </pic:pic>
              </a:graphicData>
            </a:graphic>
          </wp:inline>
        </w:drawing>
      </w:r>
      <w:r>
        <w:rPr>
          <w:rFonts w:ascii="Arial" w:cs="Arial" w:eastAsia="Arial" w:hAnsi="Arial"/>
          <w:sz w:val="28"/>
          <w:szCs w:val="28"/>
          <w:color w:val="009A4B"/>
        </w:rPr>
        <w:t xml:space="preserve"> Fiscal 2021 Total Direct Compensation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-7620</wp:posOffset>
            </wp:positionV>
            <wp:extent cx="6745605"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6745605" cy="8255"/>
                    </a:xfrm>
                    <a:prstGeom prst="rect">
                      <a:avLst/>
                    </a:prstGeom>
                    <a:noFill/>
                  </pic:spPr>
                </pic:pic>
              </a:graphicData>
            </a:graphic>
          </wp:anchor>
        </w:drawing>
      </w:r>
    </w:p>
    <w:p>
      <w:pPr>
        <w:spacing w:after="0" w:line="142" w:lineRule="exact"/>
        <w:rPr>
          <w:sz w:val="20"/>
          <w:szCs w:val="20"/>
          <w:color w:val="auto"/>
        </w:rPr>
      </w:pPr>
    </w:p>
    <w:p>
      <w:pPr>
        <w:ind w:right="300"/>
        <w:spacing w:after="0" w:line="254" w:lineRule="auto"/>
        <w:rPr>
          <w:sz w:val="20"/>
          <w:szCs w:val="20"/>
          <w:color w:val="auto"/>
        </w:rPr>
      </w:pPr>
      <w:r>
        <w:rPr>
          <w:rFonts w:ascii="Arial" w:cs="Arial" w:eastAsia="Arial" w:hAnsi="Arial"/>
          <w:sz w:val="16"/>
          <w:szCs w:val="16"/>
          <w:color w:val="auto"/>
        </w:rPr>
        <w:t>The Committee determines the individual compensation components of the program within the competitive target value for an executive officer’s total direct compensation.</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color w:val="009A4B"/>
        </w:rPr>
        <w:t>Base Salary</w:t>
      </w:r>
    </w:p>
    <w:p>
      <w:pPr>
        <w:spacing w:after="0" w:line="219" w:lineRule="exact"/>
        <w:rPr>
          <w:sz w:val="20"/>
          <w:szCs w:val="20"/>
          <w:color w:val="auto"/>
        </w:rPr>
      </w:pPr>
    </w:p>
    <w:p>
      <w:pPr>
        <w:ind w:right="80"/>
        <w:spacing w:after="0" w:line="245" w:lineRule="auto"/>
        <w:rPr>
          <w:sz w:val="20"/>
          <w:szCs w:val="20"/>
          <w:color w:val="auto"/>
        </w:rPr>
      </w:pPr>
      <w:r>
        <w:rPr>
          <w:rFonts w:ascii="Arial" w:cs="Arial" w:eastAsia="Arial" w:hAnsi="Arial"/>
          <w:sz w:val="16"/>
          <w:szCs w:val="16"/>
          <w:color w:val="auto"/>
        </w:rPr>
        <w:t>Base salary is generally targeted at the market median, with adjustment where the Committee believes appropriate for proficiency, performance, experience and the uniqueness of the responsibilities held by the executive officers. Changes in base salaries for executive officers become effective as of the first payroll period in the calendar year; therefore, the amounts in the Summary Compensation Table reflect the fiscal 2020 base salary rate for the first quarter of fiscal 2021 and the fiscal 2021 base salary rate for the remainder of fiscal 2021. Base salaries approved for the executive officers for fiscal 2020 and fiscal 2021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4100" w:type="dxa"/>
            <w:vAlign w:val="bottom"/>
          </w:tcPr>
          <w:p>
            <w:pPr>
              <w:jc w:val="right"/>
              <w:ind w:right="203"/>
              <w:spacing w:after="0"/>
              <w:rPr>
                <w:sz w:val="20"/>
                <w:szCs w:val="20"/>
                <w:color w:val="auto"/>
              </w:rPr>
            </w:pPr>
            <w:r>
              <w:rPr>
                <w:rFonts w:ascii="Arial" w:cs="Arial" w:eastAsia="Arial" w:hAnsi="Arial"/>
                <w:sz w:val="14"/>
                <w:szCs w:val="14"/>
                <w:b w:val="1"/>
                <w:bCs w:val="1"/>
                <w:color w:val="auto"/>
              </w:rPr>
              <w:t>2020 Base</w:t>
            </w:r>
          </w:p>
        </w:tc>
        <w:tc>
          <w:tcPr>
            <w:tcW w:w="1380" w:type="dxa"/>
            <w:vAlign w:val="bottom"/>
          </w:tcPr>
          <w:p>
            <w:pPr>
              <w:jc w:val="right"/>
              <w:ind w:right="263"/>
              <w:spacing w:after="0"/>
              <w:rPr>
                <w:sz w:val="20"/>
                <w:szCs w:val="20"/>
                <w:color w:val="auto"/>
              </w:rPr>
            </w:pPr>
            <w:r>
              <w:rPr>
                <w:rFonts w:ascii="Arial" w:cs="Arial" w:eastAsia="Arial" w:hAnsi="Arial"/>
                <w:sz w:val="14"/>
                <w:szCs w:val="14"/>
                <w:b w:val="1"/>
                <w:bCs w:val="1"/>
                <w:color w:val="auto"/>
              </w:rPr>
              <w:t>2021 Base</w:t>
            </w:r>
          </w:p>
        </w:tc>
        <w:tc>
          <w:tcPr>
            <w:tcW w:w="960" w:type="dxa"/>
            <w:vAlign w:val="bottom"/>
          </w:tcPr>
          <w:p>
            <w:pPr>
              <w:spacing w:after="0"/>
              <w:rPr>
                <w:sz w:val="14"/>
                <w:szCs w:val="14"/>
                <w:color w:val="auto"/>
              </w:rPr>
            </w:pPr>
          </w:p>
        </w:tc>
      </w:tr>
      <w:tr>
        <w:trPr>
          <w:trHeight w:val="160"/>
        </w:trPr>
        <w:tc>
          <w:tcPr>
            <w:tcW w:w="4800" w:type="dxa"/>
            <w:vAlign w:val="bottom"/>
          </w:tcPr>
          <w:p>
            <w:pPr>
              <w:spacing w:after="0"/>
              <w:rPr>
                <w:sz w:val="13"/>
                <w:szCs w:val="13"/>
                <w:color w:val="auto"/>
              </w:rPr>
            </w:pPr>
          </w:p>
        </w:tc>
        <w:tc>
          <w:tcPr>
            <w:tcW w:w="4100" w:type="dxa"/>
            <w:vAlign w:val="bottom"/>
          </w:tcPr>
          <w:p>
            <w:pPr>
              <w:jc w:val="right"/>
              <w:ind w:right="203"/>
              <w:spacing w:after="0" w:line="160" w:lineRule="exact"/>
              <w:rPr>
                <w:sz w:val="20"/>
                <w:szCs w:val="20"/>
                <w:color w:val="auto"/>
              </w:rPr>
            </w:pPr>
            <w:r>
              <w:rPr>
                <w:rFonts w:ascii="Arial" w:cs="Arial" w:eastAsia="Arial" w:hAnsi="Arial"/>
                <w:sz w:val="14"/>
                <w:szCs w:val="14"/>
                <w:b w:val="1"/>
                <w:bCs w:val="1"/>
                <w:color w:val="auto"/>
              </w:rPr>
              <w:t>Salary Rate</w:t>
            </w:r>
          </w:p>
        </w:tc>
        <w:tc>
          <w:tcPr>
            <w:tcW w:w="1380" w:type="dxa"/>
            <w:vAlign w:val="bottom"/>
          </w:tcPr>
          <w:p>
            <w:pPr>
              <w:jc w:val="right"/>
              <w:ind w:right="263"/>
              <w:spacing w:after="0" w:line="160" w:lineRule="exact"/>
              <w:rPr>
                <w:sz w:val="20"/>
                <w:szCs w:val="20"/>
                <w:color w:val="auto"/>
              </w:rPr>
            </w:pPr>
            <w:r>
              <w:rPr>
                <w:rFonts w:ascii="Arial" w:cs="Arial" w:eastAsia="Arial" w:hAnsi="Arial"/>
                <w:sz w:val="14"/>
                <w:szCs w:val="14"/>
                <w:b w:val="1"/>
                <w:bCs w:val="1"/>
                <w:color w:val="auto"/>
              </w:rPr>
              <w:t>Salary Rate</w:t>
            </w:r>
          </w:p>
        </w:tc>
        <w:tc>
          <w:tcPr>
            <w:tcW w:w="96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w:t>
            </w:r>
          </w:p>
        </w:tc>
      </w:tr>
      <w:tr>
        <w:trPr>
          <w:trHeight w:val="206"/>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Officer</w:t>
            </w:r>
          </w:p>
        </w:tc>
        <w:tc>
          <w:tcPr>
            <w:tcW w:w="410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Increase</w:t>
            </w:r>
          </w:p>
        </w:tc>
      </w:tr>
      <w:tr>
        <w:trPr>
          <w:trHeight w:val="233"/>
        </w:trPr>
        <w:tc>
          <w:tcPr>
            <w:tcW w:w="4800" w:type="dxa"/>
            <w:vAlign w:val="bottom"/>
            <w:tcBorders>
              <w:bottom w:val="single" w:sz="8" w:color="949599"/>
            </w:tcBorders>
          </w:tcPr>
          <w:p>
            <w:pPr>
              <w:ind w:left="40"/>
              <w:spacing w:after="0"/>
              <w:rPr>
                <w:sz w:val="20"/>
                <w:szCs w:val="20"/>
                <w:color w:val="auto"/>
              </w:rPr>
            </w:pPr>
            <w:r>
              <w:rPr>
                <w:rFonts w:ascii="Arial" w:cs="Arial" w:eastAsia="Arial" w:hAnsi="Arial"/>
                <w:sz w:val="16"/>
                <w:szCs w:val="16"/>
                <w:b w:val="1"/>
                <w:bCs w:val="1"/>
                <w:color w:val="009A4B"/>
              </w:rPr>
              <w:t>Seifi Ghasemi</w:t>
            </w:r>
          </w:p>
        </w:tc>
        <w:tc>
          <w:tcPr>
            <w:tcW w:w="4100" w:type="dxa"/>
            <w:vAlign w:val="bottom"/>
            <w:tcBorders>
              <w:bottom w:val="single" w:sz="8" w:color="949599"/>
            </w:tcBorders>
          </w:tcPr>
          <w:p>
            <w:pPr>
              <w:jc w:val="right"/>
              <w:ind w:right="203"/>
              <w:spacing w:after="0"/>
              <w:rPr>
                <w:sz w:val="20"/>
                <w:szCs w:val="20"/>
                <w:color w:val="auto"/>
              </w:rPr>
            </w:pPr>
            <w:r>
              <w:rPr>
                <w:rFonts w:ascii="Arial" w:cs="Arial" w:eastAsia="Arial" w:hAnsi="Arial"/>
                <w:sz w:val="16"/>
                <w:szCs w:val="16"/>
                <w:color w:val="auto"/>
              </w:rPr>
              <w:t>1,350,000</w:t>
            </w:r>
          </w:p>
        </w:tc>
        <w:tc>
          <w:tcPr>
            <w:tcW w:w="1380" w:type="dxa"/>
            <w:vAlign w:val="bottom"/>
            <w:tcBorders>
              <w:bottom w:val="single" w:sz="8" w:color="949599"/>
            </w:tcBorders>
          </w:tcPr>
          <w:p>
            <w:pPr>
              <w:jc w:val="right"/>
              <w:ind w:right="263"/>
              <w:spacing w:after="0"/>
              <w:rPr>
                <w:sz w:val="20"/>
                <w:szCs w:val="20"/>
                <w:color w:val="auto"/>
              </w:rPr>
            </w:pPr>
            <w:r>
              <w:rPr>
                <w:rFonts w:ascii="Arial" w:cs="Arial" w:eastAsia="Arial" w:hAnsi="Arial"/>
                <w:sz w:val="16"/>
                <w:szCs w:val="16"/>
                <w:color w:val="auto"/>
              </w:rPr>
              <w:t>1,350,000</w:t>
            </w:r>
          </w:p>
        </w:tc>
        <w:tc>
          <w:tcPr>
            <w:tcW w:w="96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0</w:t>
            </w:r>
          </w:p>
        </w:tc>
      </w:tr>
      <w:tr>
        <w:trPr>
          <w:trHeight w:val="280"/>
        </w:trPr>
        <w:tc>
          <w:tcPr>
            <w:tcW w:w="4800" w:type="dxa"/>
            <w:vAlign w:val="bottom"/>
            <w:tcBorders>
              <w:bottom w:val="single" w:sz="8" w:color="949599"/>
            </w:tcBorders>
          </w:tcPr>
          <w:p>
            <w:pPr>
              <w:ind w:left="40"/>
              <w:spacing w:after="0" w:line="280" w:lineRule="exact"/>
              <w:rPr>
                <w:sz w:val="20"/>
                <w:szCs w:val="20"/>
                <w:color w:val="auto"/>
              </w:rPr>
            </w:pPr>
            <w:r>
              <w:rPr>
                <w:rFonts w:ascii="Arial" w:cs="Arial" w:eastAsia="Arial" w:hAnsi="Arial"/>
                <w:sz w:val="16"/>
                <w:szCs w:val="16"/>
                <w:b w:val="1"/>
                <w:bCs w:val="1"/>
                <w:color w:val="009A4B"/>
              </w:rPr>
              <w:t>Melissa N. Schaeffer</w:t>
            </w:r>
            <w:r>
              <w:rPr>
                <w:rFonts w:ascii="Arial" w:cs="Arial" w:eastAsia="Arial" w:hAnsi="Arial"/>
                <w:sz w:val="26"/>
                <w:szCs w:val="26"/>
                <w:b w:val="1"/>
                <w:bCs w:val="1"/>
                <w:color w:val="009A4B"/>
                <w:vertAlign w:val="superscript"/>
              </w:rPr>
              <w:t>(1)</w:t>
            </w:r>
          </w:p>
        </w:tc>
        <w:tc>
          <w:tcPr>
            <w:tcW w:w="4100" w:type="dxa"/>
            <w:vAlign w:val="bottom"/>
            <w:tcBorders>
              <w:bottom w:val="single" w:sz="8" w:color="949599"/>
            </w:tcBorders>
          </w:tcPr>
          <w:p>
            <w:pPr>
              <w:jc w:val="right"/>
              <w:ind w:right="203"/>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949599"/>
            </w:tcBorders>
          </w:tcPr>
          <w:p>
            <w:pPr>
              <w:jc w:val="right"/>
              <w:ind w:right="263"/>
              <w:spacing w:after="0"/>
              <w:rPr>
                <w:sz w:val="20"/>
                <w:szCs w:val="20"/>
                <w:color w:val="auto"/>
              </w:rPr>
            </w:pPr>
            <w:r>
              <w:rPr>
                <w:rFonts w:ascii="Arial" w:cs="Arial" w:eastAsia="Arial" w:hAnsi="Arial"/>
                <w:sz w:val="16"/>
                <w:szCs w:val="16"/>
                <w:color w:val="auto"/>
              </w:rPr>
              <w:t>550,000</w:t>
            </w:r>
          </w:p>
        </w:tc>
        <w:tc>
          <w:tcPr>
            <w:tcW w:w="96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4800" w:type="dxa"/>
            <w:vAlign w:val="bottom"/>
            <w:tcBorders>
              <w:bottom w:val="single" w:sz="8" w:color="949599"/>
            </w:tcBorders>
          </w:tcPr>
          <w:p>
            <w:pPr>
              <w:ind w:left="40"/>
              <w:spacing w:after="0"/>
              <w:rPr>
                <w:sz w:val="20"/>
                <w:szCs w:val="20"/>
                <w:color w:val="auto"/>
              </w:rPr>
            </w:pPr>
            <w:r>
              <w:rPr>
                <w:rFonts w:ascii="Arial" w:cs="Arial" w:eastAsia="Arial" w:hAnsi="Arial"/>
                <w:sz w:val="16"/>
                <w:szCs w:val="16"/>
                <w:b w:val="1"/>
                <w:bCs w:val="1"/>
                <w:color w:val="009A4B"/>
              </w:rPr>
              <w:t>M. Scott Crocco</w:t>
            </w:r>
          </w:p>
        </w:tc>
        <w:tc>
          <w:tcPr>
            <w:tcW w:w="4100" w:type="dxa"/>
            <w:vAlign w:val="bottom"/>
            <w:tcBorders>
              <w:bottom w:val="single" w:sz="8" w:color="949599"/>
            </w:tcBorders>
          </w:tcPr>
          <w:p>
            <w:pPr>
              <w:jc w:val="right"/>
              <w:ind w:right="203"/>
              <w:spacing w:after="0"/>
              <w:rPr>
                <w:sz w:val="20"/>
                <w:szCs w:val="20"/>
                <w:color w:val="auto"/>
              </w:rPr>
            </w:pPr>
            <w:r>
              <w:rPr>
                <w:rFonts w:ascii="Arial" w:cs="Arial" w:eastAsia="Arial" w:hAnsi="Arial"/>
                <w:sz w:val="16"/>
                <w:szCs w:val="16"/>
                <w:color w:val="auto"/>
              </w:rPr>
              <w:t>650,000</w:t>
            </w:r>
          </w:p>
        </w:tc>
        <w:tc>
          <w:tcPr>
            <w:tcW w:w="1380" w:type="dxa"/>
            <w:vAlign w:val="bottom"/>
            <w:tcBorders>
              <w:bottom w:val="single" w:sz="8" w:color="949599"/>
            </w:tcBorders>
          </w:tcPr>
          <w:p>
            <w:pPr>
              <w:jc w:val="right"/>
              <w:ind w:right="263"/>
              <w:spacing w:after="0"/>
              <w:rPr>
                <w:sz w:val="20"/>
                <w:szCs w:val="20"/>
                <w:color w:val="auto"/>
              </w:rPr>
            </w:pPr>
            <w:r>
              <w:rPr>
                <w:rFonts w:ascii="Arial" w:cs="Arial" w:eastAsia="Arial" w:hAnsi="Arial"/>
                <w:sz w:val="16"/>
                <w:szCs w:val="16"/>
                <w:color w:val="auto"/>
              </w:rPr>
              <w:t>650,000</w:t>
            </w:r>
          </w:p>
        </w:tc>
        <w:tc>
          <w:tcPr>
            <w:tcW w:w="96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0</w:t>
            </w:r>
          </w:p>
        </w:tc>
      </w:tr>
      <w:tr>
        <w:trPr>
          <w:trHeight w:val="233"/>
        </w:trPr>
        <w:tc>
          <w:tcPr>
            <w:tcW w:w="4800" w:type="dxa"/>
            <w:vAlign w:val="bottom"/>
            <w:tcBorders>
              <w:bottom w:val="single" w:sz="8" w:color="949599"/>
            </w:tcBorders>
          </w:tcPr>
          <w:p>
            <w:pPr>
              <w:ind w:left="40"/>
              <w:spacing w:after="0"/>
              <w:rPr>
                <w:sz w:val="20"/>
                <w:szCs w:val="20"/>
                <w:color w:val="auto"/>
              </w:rPr>
            </w:pPr>
            <w:r>
              <w:rPr>
                <w:rFonts w:ascii="Arial" w:cs="Arial" w:eastAsia="Arial" w:hAnsi="Arial"/>
                <w:sz w:val="16"/>
                <w:szCs w:val="16"/>
                <w:b w:val="1"/>
                <w:bCs w:val="1"/>
                <w:color w:val="009A4B"/>
              </w:rPr>
              <w:t>Sean D. Major</w:t>
            </w:r>
          </w:p>
        </w:tc>
        <w:tc>
          <w:tcPr>
            <w:tcW w:w="4100" w:type="dxa"/>
            <w:vAlign w:val="bottom"/>
            <w:tcBorders>
              <w:bottom w:val="single" w:sz="8" w:color="949599"/>
            </w:tcBorders>
          </w:tcPr>
          <w:p>
            <w:pPr>
              <w:jc w:val="right"/>
              <w:ind w:right="203"/>
              <w:spacing w:after="0"/>
              <w:rPr>
                <w:sz w:val="20"/>
                <w:szCs w:val="20"/>
                <w:color w:val="auto"/>
              </w:rPr>
            </w:pPr>
            <w:r>
              <w:rPr>
                <w:rFonts w:ascii="Arial" w:cs="Arial" w:eastAsia="Arial" w:hAnsi="Arial"/>
                <w:sz w:val="16"/>
                <w:szCs w:val="16"/>
                <w:color w:val="auto"/>
              </w:rPr>
              <w:t>550,000</w:t>
            </w:r>
          </w:p>
        </w:tc>
        <w:tc>
          <w:tcPr>
            <w:tcW w:w="1380" w:type="dxa"/>
            <w:vAlign w:val="bottom"/>
            <w:tcBorders>
              <w:bottom w:val="single" w:sz="8" w:color="949599"/>
            </w:tcBorders>
          </w:tcPr>
          <w:p>
            <w:pPr>
              <w:jc w:val="right"/>
              <w:ind w:right="263"/>
              <w:spacing w:after="0"/>
              <w:rPr>
                <w:sz w:val="20"/>
                <w:szCs w:val="20"/>
                <w:color w:val="auto"/>
              </w:rPr>
            </w:pPr>
            <w:r>
              <w:rPr>
                <w:rFonts w:ascii="Arial" w:cs="Arial" w:eastAsia="Arial" w:hAnsi="Arial"/>
                <w:sz w:val="16"/>
                <w:szCs w:val="16"/>
                <w:color w:val="auto"/>
              </w:rPr>
              <w:t>550,000</w:t>
            </w:r>
          </w:p>
        </w:tc>
        <w:tc>
          <w:tcPr>
            <w:tcW w:w="96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0</w:t>
            </w:r>
          </w:p>
        </w:tc>
      </w:tr>
      <w:tr>
        <w:trPr>
          <w:trHeight w:val="246"/>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009A4B"/>
              </w:rPr>
              <w:t>Samir J. Serhan</w:t>
            </w:r>
          </w:p>
        </w:tc>
        <w:tc>
          <w:tcPr>
            <w:tcW w:w="410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color w:val="auto"/>
              </w:rPr>
              <w:t>650,000</w:t>
            </w:r>
          </w:p>
        </w:tc>
        <w:tc>
          <w:tcPr>
            <w:tcW w:w="138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color w:val="auto"/>
              </w:rPr>
              <w:t>700,000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bl>
    <w:p>
      <w:pPr>
        <w:spacing w:after="0" w:line="32" w:lineRule="exact"/>
        <w:rPr>
          <w:sz w:val="20"/>
          <w:szCs w:val="20"/>
          <w:color w:val="auto"/>
        </w:rPr>
      </w:pPr>
    </w:p>
    <w:p>
      <w:pPr>
        <w:ind w:left="320" w:hanging="314"/>
        <w:spacing w:after="0"/>
        <w:tabs>
          <w:tab w:leader="none" w:pos="320" w:val="left"/>
        </w:tabs>
        <w:numPr>
          <w:ilvl w:val="0"/>
          <w:numId w:val="37"/>
        </w:numPr>
        <w:rPr>
          <w:rFonts w:ascii="Arial" w:cs="Arial" w:eastAsia="Arial" w:hAnsi="Arial"/>
          <w:sz w:val="24"/>
          <w:szCs w:val="24"/>
          <w:color w:val="auto"/>
          <w:vertAlign w:val="superscript"/>
        </w:rPr>
      </w:pPr>
      <w:r>
        <w:rPr>
          <w:rFonts w:ascii="Arial" w:cs="Arial" w:eastAsia="Arial" w:hAnsi="Arial"/>
          <w:sz w:val="14"/>
          <w:szCs w:val="14"/>
          <w:color w:val="auto"/>
        </w:rPr>
        <w:t>Ms. Schaeffer was appointed as CFO effective August 10, 2021. The stated 2021 Base Salary Rate reflects her new base salary as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83185</wp:posOffset>
            </wp:positionV>
            <wp:extent cx="845185" cy="20256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45185" cy="20256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7155180" cy="209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009A4B"/>
        </w:rPr>
        <w:t>Annual Incentive Plan</w:t>
      </w:r>
    </w:p>
    <w:p>
      <w:pPr>
        <w:spacing w:after="0" w:line="219"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Target annual incentive opportunities under the Annual Incentive Plan are intended to be competitive with the market. Targets may be established at greater or lesser levels for individual executive officers based on performance factors, internal equity, experience in the position or year-to-year swings in market data. Actual annual incentive awards may be above or below target depending upon the Company’s fiscal year performance as measured by the performance measures and goals established by the Committee at the beginning of the fiscal year. When performance exceeds the target goals for the performance measures, annual incentive awards may exceed target as well and may exceed market median payouts. Actual annual incentive awards can range from 0% to 230% of target, inclusive of up to 30 percentage points of positive discretion. Over the previous five years, executive officer awards have ranged from 120% to 200% of target.</w:t>
      </w:r>
    </w:p>
    <w:p>
      <w:pPr>
        <w:spacing w:after="0" w:line="155"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Determination of annual incentive awards is a multi-step process, which begins with establishing target opportunities. At the beginning of the fiscal year, the Committee determines executive officer target annual incentive awards as a percentage of each executive officer’s base salary based on the Survey Reference Group and, for the CEO and CFO, Peer Reference Group competitive assessment. Target bonus opportunities increased from 85% to 90% for Messrs. Crocco and Major and Dr. Serhan. Mr. Ghasemi’s target bonus opportunity remained the same for fiscal 2020 and 2021.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4060" w:type="dxa"/>
            <w:vAlign w:val="bottom"/>
          </w:tcPr>
          <w:p>
            <w:pPr>
              <w:jc w:val="right"/>
              <w:ind w:right="203"/>
              <w:spacing w:after="0"/>
              <w:rPr>
                <w:sz w:val="20"/>
                <w:szCs w:val="20"/>
                <w:color w:val="auto"/>
              </w:rPr>
            </w:pPr>
            <w:r>
              <w:rPr>
                <w:rFonts w:ascii="Arial" w:cs="Arial" w:eastAsia="Arial" w:hAnsi="Arial"/>
                <w:sz w:val="14"/>
                <w:szCs w:val="14"/>
                <w:b w:val="1"/>
                <w:bCs w:val="1"/>
                <w:color w:val="auto"/>
              </w:rPr>
              <w:t>2020 Target</w:t>
            </w:r>
          </w:p>
        </w:tc>
        <w:tc>
          <w:tcPr>
            <w:tcW w:w="1780" w:type="dxa"/>
            <w:vAlign w:val="bottom"/>
          </w:tcPr>
          <w:p>
            <w:pPr>
              <w:jc w:val="right"/>
              <w:ind w:right="183"/>
              <w:spacing w:after="0"/>
              <w:rPr>
                <w:sz w:val="20"/>
                <w:szCs w:val="20"/>
                <w:color w:val="auto"/>
              </w:rPr>
            </w:pPr>
            <w:r>
              <w:rPr>
                <w:rFonts w:ascii="Arial" w:cs="Arial" w:eastAsia="Arial" w:hAnsi="Arial"/>
                <w:sz w:val="14"/>
                <w:szCs w:val="14"/>
                <w:b w:val="1"/>
                <w:bCs w:val="1"/>
                <w:color w:val="auto"/>
              </w:rPr>
              <w:t>2021 Target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2021 Target</w:t>
            </w:r>
          </w:p>
        </w:tc>
      </w:tr>
      <w:tr>
        <w:trPr>
          <w:trHeight w:val="206"/>
        </w:trPr>
        <w:tc>
          <w:tcPr>
            <w:tcW w:w="4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Officer</w:t>
            </w:r>
          </w:p>
        </w:tc>
        <w:tc>
          <w:tcPr>
            <w:tcW w:w="406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 of Base Salary)</w:t>
            </w:r>
          </w:p>
        </w:tc>
        <w:tc>
          <w:tcPr>
            <w:tcW w:w="178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 of Base Salary)</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 ($)</w:t>
            </w:r>
          </w:p>
        </w:tc>
      </w:tr>
      <w:tr>
        <w:trPr>
          <w:trHeight w:val="233"/>
        </w:trPr>
        <w:tc>
          <w:tcPr>
            <w:tcW w:w="4320" w:type="dxa"/>
            <w:vAlign w:val="bottom"/>
            <w:tcBorders>
              <w:bottom w:val="single" w:sz="8" w:color="949599"/>
            </w:tcBorders>
          </w:tcPr>
          <w:p>
            <w:pPr>
              <w:ind w:left="40"/>
              <w:spacing w:after="0"/>
              <w:rPr>
                <w:sz w:val="20"/>
                <w:szCs w:val="20"/>
                <w:color w:val="auto"/>
              </w:rPr>
            </w:pPr>
            <w:r>
              <w:rPr>
                <w:rFonts w:ascii="Arial" w:cs="Arial" w:eastAsia="Arial" w:hAnsi="Arial"/>
                <w:sz w:val="16"/>
                <w:szCs w:val="16"/>
                <w:b w:val="1"/>
                <w:bCs w:val="1"/>
                <w:color w:val="009A4B"/>
              </w:rPr>
              <w:t>Seifi Ghasemi</w:t>
            </w:r>
          </w:p>
        </w:tc>
        <w:tc>
          <w:tcPr>
            <w:tcW w:w="4060" w:type="dxa"/>
            <w:vAlign w:val="bottom"/>
            <w:tcBorders>
              <w:bottom w:val="single" w:sz="8" w:color="949599"/>
            </w:tcBorders>
          </w:tcPr>
          <w:p>
            <w:pPr>
              <w:jc w:val="right"/>
              <w:ind w:right="203"/>
              <w:spacing w:after="0"/>
              <w:rPr>
                <w:sz w:val="20"/>
                <w:szCs w:val="20"/>
                <w:color w:val="auto"/>
              </w:rPr>
            </w:pPr>
            <w:r>
              <w:rPr>
                <w:rFonts w:ascii="Arial" w:cs="Arial" w:eastAsia="Arial" w:hAnsi="Arial"/>
                <w:sz w:val="16"/>
                <w:szCs w:val="16"/>
                <w:color w:val="auto"/>
              </w:rPr>
              <w:t>150</w:t>
            </w:r>
          </w:p>
        </w:tc>
        <w:tc>
          <w:tcPr>
            <w:tcW w:w="1780" w:type="dxa"/>
            <w:vAlign w:val="bottom"/>
            <w:tcBorders>
              <w:bottom w:val="single" w:sz="8" w:color="949599"/>
            </w:tcBorders>
          </w:tcPr>
          <w:p>
            <w:pPr>
              <w:jc w:val="right"/>
              <w:ind w:right="183"/>
              <w:spacing w:after="0"/>
              <w:rPr>
                <w:sz w:val="20"/>
                <w:szCs w:val="20"/>
                <w:color w:val="auto"/>
              </w:rPr>
            </w:pPr>
            <w:r>
              <w:rPr>
                <w:rFonts w:ascii="Arial" w:cs="Arial" w:eastAsia="Arial" w:hAnsi="Arial"/>
                <w:sz w:val="16"/>
                <w:szCs w:val="16"/>
                <w:color w:val="auto"/>
              </w:rPr>
              <w:t>150</w:t>
            </w:r>
          </w:p>
        </w:tc>
        <w:tc>
          <w:tcPr>
            <w:tcW w:w="108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2,025,000</w:t>
            </w:r>
          </w:p>
        </w:tc>
      </w:tr>
      <w:tr>
        <w:trPr>
          <w:trHeight w:val="280"/>
        </w:trPr>
        <w:tc>
          <w:tcPr>
            <w:tcW w:w="4320" w:type="dxa"/>
            <w:vAlign w:val="bottom"/>
            <w:tcBorders>
              <w:bottom w:val="single" w:sz="8" w:color="949599"/>
            </w:tcBorders>
          </w:tcPr>
          <w:p>
            <w:pPr>
              <w:ind w:left="40"/>
              <w:spacing w:after="0" w:line="280" w:lineRule="exact"/>
              <w:rPr>
                <w:sz w:val="20"/>
                <w:szCs w:val="20"/>
                <w:color w:val="auto"/>
              </w:rPr>
            </w:pPr>
            <w:r>
              <w:rPr>
                <w:rFonts w:ascii="Arial" w:cs="Arial" w:eastAsia="Arial" w:hAnsi="Arial"/>
                <w:sz w:val="16"/>
                <w:szCs w:val="16"/>
                <w:b w:val="1"/>
                <w:bCs w:val="1"/>
                <w:color w:val="009A4B"/>
              </w:rPr>
              <w:t>Melissa N. Schaeffer</w:t>
            </w:r>
            <w:r>
              <w:rPr>
                <w:rFonts w:ascii="Arial" w:cs="Arial" w:eastAsia="Arial" w:hAnsi="Arial"/>
                <w:sz w:val="26"/>
                <w:szCs w:val="26"/>
                <w:b w:val="1"/>
                <w:bCs w:val="1"/>
                <w:color w:val="009A4B"/>
                <w:vertAlign w:val="superscript"/>
              </w:rPr>
              <w:t>(1)</w:t>
            </w:r>
          </w:p>
        </w:tc>
        <w:tc>
          <w:tcPr>
            <w:tcW w:w="4060" w:type="dxa"/>
            <w:vAlign w:val="bottom"/>
            <w:tcBorders>
              <w:bottom w:val="single" w:sz="8" w:color="949599"/>
            </w:tcBorders>
          </w:tcPr>
          <w:p>
            <w:pPr>
              <w:jc w:val="right"/>
              <w:ind w:right="203"/>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949599"/>
            </w:tcBorders>
          </w:tcPr>
          <w:p>
            <w:pPr>
              <w:jc w:val="right"/>
              <w:ind w:right="183"/>
              <w:spacing w:after="0"/>
              <w:rPr>
                <w:sz w:val="20"/>
                <w:szCs w:val="20"/>
                <w:color w:val="auto"/>
              </w:rPr>
            </w:pPr>
            <w:r>
              <w:rPr>
                <w:rFonts w:ascii="Arial" w:cs="Arial" w:eastAsia="Arial" w:hAnsi="Arial"/>
                <w:sz w:val="16"/>
                <w:szCs w:val="16"/>
                <w:color w:val="auto"/>
              </w:rPr>
              <w:t>75</w:t>
            </w:r>
          </w:p>
        </w:tc>
        <w:tc>
          <w:tcPr>
            <w:tcW w:w="108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412,500</w:t>
            </w:r>
          </w:p>
        </w:tc>
      </w:tr>
      <w:tr>
        <w:trPr>
          <w:trHeight w:val="226"/>
        </w:trPr>
        <w:tc>
          <w:tcPr>
            <w:tcW w:w="4320" w:type="dxa"/>
            <w:vAlign w:val="bottom"/>
            <w:tcBorders>
              <w:bottom w:val="single" w:sz="8" w:color="949599"/>
            </w:tcBorders>
          </w:tcPr>
          <w:p>
            <w:pPr>
              <w:ind w:left="40"/>
              <w:spacing w:after="0"/>
              <w:rPr>
                <w:sz w:val="20"/>
                <w:szCs w:val="20"/>
                <w:color w:val="auto"/>
              </w:rPr>
            </w:pPr>
            <w:r>
              <w:rPr>
                <w:rFonts w:ascii="Arial" w:cs="Arial" w:eastAsia="Arial" w:hAnsi="Arial"/>
                <w:sz w:val="16"/>
                <w:szCs w:val="16"/>
                <w:b w:val="1"/>
                <w:bCs w:val="1"/>
                <w:color w:val="009A4B"/>
              </w:rPr>
              <w:t>M. Scott Crocco</w:t>
            </w:r>
          </w:p>
        </w:tc>
        <w:tc>
          <w:tcPr>
            <w:tcW w:w="4060" w:type="dxa"/>
            <w:vAlign w:val="bottom"/>
            <w:tcBorders>
              <w:bottom w:val="single" w:sz="8" w:color="949599"/>
            </w:tcBorders>
          </w:tcPr>
          <w:p>
            <w:pPr>
              <w:jc w:val="right"/>
              <w:ind w:right="203"/>
              <w:spacing w:after="0"/>
              <w:rPr>
                <w:sz w:val="20"/>
                <w:szCs w:val="20"/>
                <w:color w:val="auto"/>
              </w:rPr>
            </w:pPr>
            <w:r>
              <w:rPr>
                <w:rFonts w:ascii="Arial" w:cs="Arial" w:eastAsia="Arial" w:hAnsi="Arial"/>
                <w:sz w:val="16"/>
                <w:szCs w:val="16"/>
                <w:color w:val="auto"/>
              </w:rPr>
              <w:t>85</w:t>
            </w:r>
          </w:p>
        </w:tc>
        <w:tc>
          <w:tcPr>
            <w:tcW w:w="1780" w:type="dxa"/>
            <w:vAlign w:val="bottom"/>
            <w:tcBorders>
              <w:bottom w:val="single" w:sz="8" w:color="949599"/>
            </w:tcBorders>
          </w:tcPr>
          <w:p>
            <w:pPr>
              <w:jc w:val="right"/>
              <w:ind w:right="183"/>
              <w:spacing w:after="0"/>
              <w:rPr>
                <w:sz w:val="20"/>
                <w:szCs w:val="20"/>
                <w:color w:val="auto"/>
              </w:rPr>
            </w:pPr>
            <w:r>
              <w:rPr>
                <w:rFonts w:ascii="Arial" w:cs="Arial" w:eastAsia="Arial" w:hAnsi="Arial"/>
                <w:sz w:val="16"/>
                <w:szCs w:val="16"/>
                <w:color w:val="auto"/>
              </w:rPr>
              <w:t>90</w:t>
            </w:r>
          </w:p>
        </w:tc>
        <w:tc>
          <w:tcPr>
            <w:tcW w:w="108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585,000</w:t>
            </w:r>
          </w:p>
        </w:tc>
      </w:tr>
      <w:tr>
        <w:trPr>
          <w:trHeight w:val="233"/>
        </w:trPr>
        <w:tc>
          <w:tcPr>
            <w:tcW w:w="4320" w:type="dxa"/>
            <w:vAlign w:val="bottom"/>
            <w:tcBorders>
              <w:bottom w:val="single" w:sz="8" w:color="949599"/>
            </w:tcBorders>
          </w:tcPr>
          <w:p>
            <w:pPr>
              <w:ind w:left="40"/>
              <w:spacing w:after="0"/>
              <w:rPr>
                <w:sz w:val="20"/>
                <w:szCs w:val="20"/>
                <w:color w:val="auto"/>
              </w:rPr>
            </w:pPr>
            <w:r>
              <w:rPr>
                <w:rFonts w:ascii="Arial" w:cs="Arial" w:eastAsia="Arial" w:hAnsi="Arial"/>
                <w:sz w:val="16"/>
                <w:szCs w:val="16"/>
                <w:b w:val="1"/>
                <w:bCs w:val="1"/>
                <w:color w:val="009A4B"/>
              </w:rPr>
              <w:t>Sean D. Major</w:t>
            </w:r>
          </w:p>
        </w:tc>
        <w:tc>
          <w:tcPr>
            <w:tcW w:w="4060" w:type="dxa"/>
            <w:vAlign w:val="bottom"/>
            <w:tcBorders>
              <w:bottom w:val="single" w:sz="8" w:color="949599"/>
            </w:tcBorders>
          </w:tcPr>
          <w:p>
            <w:pPr>
              <w:jc w:val="right"/>
              <w:ind w:right="203"/>
              <w:spacing w:after="0"/>
              <w:rPr>
                <w:sz w:val="20"/>
                <w:szCs w:val="20"/>
                <w:color w:val="auto"/>
              </w:rPr>
            </w:pPr>
            <w:r>
              <w:rPr>
                <w:rFonts w:ascii="Arial" w:cs="Arial" w:eastAsia="Arial" w:hAnsi="Arial"/>
                <w:sz w:val="16"/>
                <w:szCs w:val="16"/>
                <w:color w:val="auto"/>
              </w:rPr>
              <w:t>85</w:t>
            </w:r>
          </w:p>
        </w:tc>
        <w:tc>
          <w:tcPr>
            <w:tcW w:w="1780" w:type="dxa"/>
            <w:vAlign w:val="bottom"/>
            <w:tcBorders>
              <w:bottom w:val="single" w:sz="8" w:color="949599"/>
            </w:tcBorders>
          </w:tcPr>
          <w:p>
            <w:pPr>
              <w:jc w:val="right"/>
              <w:ind w:right="183"/>
              <w:spacing w:after="0"/>
              <w:rPr>
                <w:sz w:val="20"/>
                <w:szCs w:val="20"/>
                <w:color w:val="auto"/>
              </w:rPr>
            </w:pPr>
            <w:r>
              <w:rPr>
                <w:rFonts w:ascii="Arial" w:cs="Arial" w:eastAsia="Arial" w:hAnsi="Arial"/>
                <w:sz w:val="16"/>
                <w:szCs w:val="16"/>
                <w:color w:val="auto"/>
              </w:rPr>
              <w:t>90</w:t>
            </w:r>
          </w:p>
        </w:tc>
        <w:tc>
          <w:tcPr>
            <w:tcW w:w="108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495,000</w:t>
            </w:r>
          </w:p>
        </w:tc>
      </w:tr>
      <w:tr>
        <w:trPr>
          <w:trHeight w:val="246"/>
        </w:trPr>
        <w:tc>
          <w:tcPr>
            <w:tcW w:w="43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009A4B"/>
              </w:rPr>
              <w:t>Samir J. Serhan</w:t>
            </w:r>
          </w:p>
        </w:tc>
        <w:tc>
          <w:tcPr>
            <w:tcW w:w="406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color w:val="auto"/>
              </w:rPr>
              <w:t>85</w:t>
            </w:r>
          </w:p>
        </w:tc>
        <w:tc>
          <w:tcPr>
            <w:tcW w:w="178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color w:val="auto"/>
              </w:rPr>
              <w:t>90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630,000</w:t>
            </w:r>
          </w:p>
        </w:tc>
      </w:tr>
    </w:tbl>
    <w:p>
      <w:pPr>
        <w:spacing w:after="0" w:line="32" w:lineRule="exact"/>
        <w:rPr>
          <w:sz w:val="20"/>
          <w:szCs w:val="20"/>
          <w:color w:val="auto"/>
        </w:rPr>
      </w:pPr>
    </w:p>
    <w:p>
      <w:pPr>
        <w:ind w:left="320" w:hanging="314"/>
        <w:spacing w:after="0"/>
        <w:tabs>
          <w:tab w:leader="none" w:pos="320" w:val="left"/>
        </w:tabs>
        <w:numPr>
          <w:ilvl w:val="0"/>
          <w:numId w:val="38"/>
        </w:numPr>
        <w:rPr>
          <w:rFonts w:ascii="Arial" w:cs="Arial" w:eastAsia="Arial" w:hAnsi="Arial"/>
          <w:sz w:val="24"/>
          <w:szCs w:val="24"/>
          <w:color w:val="auto"/>
          <w:vertAlign w:val="superscript"/>
        </w:rPr>
      </w:pPr>
      <w:r>
        <w:rPr>
          <w:rFonts w:ascii="Arial" w:cs="Arial" w:eastAsia="Arial" w:hAnsi="Arial"/>
          <w:sz w:val="14"/>
          <w:szCs w:val="14"/>
          <w:color w:val="auto"/>
        </w:rPr>
        <w:t>Ms. Schaeffer was appointed as CFO effective August 10, 2021. The stated 2021 Target % and Target Value reflect her new target bonus as CFO.</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An executive officer’s actual payout is determined by multiplying the target award by his or her individual payout factor.</w:t>
      </w:r>
    </w:p>
    <w:p>
      <w:pPr>
        <w:spacing w:after="0" w:line="162" w:lineRule="exact"/>
        <w:rPr>
          <w:sz w:val="20"/>
          <w:szCs w:val="20"/>
          <w:color w:val="auto"/>
        </w:rPr>
      </w:pPr>
    </w:p>
    <w:p>
      <w:pPr>
        <w:ind w:right="80"/>
        <w:spacing w:after="0" w:line="258" w:lineRule="auto"/>
        <w:rPr>
          <w:sz w:val="20"/>
          <w:szCs w:val="20"/>
          <w:color w:val="auto"/>
        </w:rPr>
      </w:pPr>
      <w:r>
        <w:rPr>
          <w:rFonts w:ascii="Arial" w:cs="Arial" w:eastAsia="Arial" w:hAnsi="Arial"/>
          <w:sz w:val="15"/>
          <w:szCs w:val="15"/>
          <w:color w:val="auto"/>
        </w:rPr>
        <w:t>As a first step in determining an executive officer’s individual payout factor, the Committee determines an initial payout factor derived from the Company’s performance against the payout schedules established by the Committee at the beginning of the fiscal year. As described above, for fiscal 2021, the Committee recognized the ongoing COVID-19 pandemic and selected rigorous adjusted earnings per share targets as the performance measure for the Annual Incentive Plan to incentivize the executive officers to execute the Company’s growth strategy. Target adjusted earnings per share of $9.05 represented</w:t>
      </w:r>
    </w:p>
    <w:p>
      <w:pPr>
        <w:spacing w:after="0" w:line="1" w:lineRule="exact"/>
        <w:rPr>
          <w:sz w:val="20"/>
          <w:szCs w:val="20"/>
          <w:color w:val="auto"/>
        </w:rPr>
      </w:pPr>
    </w:p>
    <w:p>
      <w:pPr>
        <w:ind w:right="500"/>
        <w:spacing w:after="0" w:line="209" w:lineRule="auto"/>
        <w:rPr>
          <w:sz w:val="20"/>
          <w:szCs w:val="20"/>
          <w:color w:val="auto"/>
        </w:rPr>
      </w:pPr>
      <w:r>
        <w:rPr>
          <w:rFonts w:ascii="Arial" w:cs="Arial" w:eastAsia="Arial" w:hAnsi="Arial"/>
          <w:sz w:val="16"/>
          <w:szCs w:val="16"/>
          <w:color w:val="auto"/>
        </w:rPr>
        <w:t>an 8% increase from fiscal 2020 adjusted earnings per share of $8.38.</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The threshold, target and maximum factors for the adjusted earnings per share measure are set out below. (Factors are interpolated between points.)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ind w:left="40"/>
              <w:spacing w:after="0"/>
              <w:rPr>
                <w:sz w:val="20"/>
                <w:szCs w:val="20"/>
                <w:color w:val="auto"/>
              </w:rPr>
            </w:pPr>
            <w:r>
              <w:rPr>
                <w:rFonts w:ascii="Arial" w:cs="Arial" w:eastAsia="Arial" w:hAnsi="Arial"/>
                <w:sz w:val="14"/>
                <w:szCs w:val="14"/>
                <w:b w:val="1"/>
                <w:bCs w:val="1"/>
                <w:color w:val="auto"/>
              </w:rPr>
              <w:t>2021 Adjusted</w:t>
            </w:r>
          </w:p>
        </w:tc>
        <w:tc>
          <w:tcPr>
            <w:tcW w:w="5420" w:type="dxa"/>
            <w:vAlign w:val="bottom"/>
          </w:tcPr>
          <w:p>
            <w:pPr>
              <w:jc w:val="right"/>
              <w:ind w:right="3"/>
              <w:spacing w:after="0"/>
              <w:rPr>
                <w:sz w:val="20"/>
                <w:szCs w:val="20"/>
                <w:color w:val="auto"/>
              </w:rPr>
            </w:pPr>
            <w:r>
              <w:rPr>
                <w:rFonts w:ascii="Arial" w:cs="Arial" w:eastAsia="Arial" w:hAnsi="Arial"/>
                <w:sz w:val="14"/>
                <w:szCs w:val="14"/>
                <w:b w:val="1"/>
                <w:bCs w:val="1"/>
                <w:color w:val="auto"/>
              </w:rPr>
              <w:t>Initial Payout</w:t>
            </w:r>
          </w:p>
        </w:tc>
      </w:tr>
      <w:tr>
        <w:trPr>
          <w:trHeight w:val="193"/>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 per Share</w:t>
            </w:r>
          </w:p>
        </w:tc>
        <w:tc>
          <w:tcPr>
            <w:tcW w:w="5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Factor %</w:t>
            </w:r>
          </w:p>
        </w:tc>
      </w:tr>
      <w:tr>
        <w:trPr>
          <w:trHeight w:val="210"/>
        </w:trPr>
        <w:tc>
          <w:tcPr>
            <w:tcW w:w="5820" w:type="dxa"/>
            <w:vAlign w:val="bottom"/>
            <w:tcBorders>
              <w:bottom w:val="single" w:sz="8" w:color="949599"/>
            </w:tcBorders>
          </w:tcPr>
          <w:p>
            <w:pPr>
              <w:ind w:left="40"/>
              <w:spacing w:after="0"/>
              <w:rPr>
                <w:sz w:val="20"/>
                <w:szCs w:val="20"/>
                <w:color w:val="auto"/>
              </w:rPr>
            </w:pPr>
            <w:r>
              <w:rPr>
                <w:rFonts w:ascii="Arial" w:cs="Arial" w:eastAsia="Arial" w:hAnsi="Arial"/>
                <w:sz w:val="16"/>
                <w:szCs w:val="16"/>
                <w:color w:val="auto"/>
              </w:rPr>
              <w:t>&lt;$8.76</w:t>
            </w:r>
          </w:p>
        </w:tc>
        <w:tc>
          <w:tcPr>
            <w:tcW w:w="542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0</w:t>
            </w:r>
          </w:p>
        </w:tc>
      </w:tr>
      <w:tr>
        <w:trPr>
          <w:trHeight w:val="206"/>
        </w:trPr>
        <w:tc>
          <w:tcPr>
            <w:tcW w:w="5820" w:type="dxa"/>
            <w:vAlign w:val="bottom"/>
            <w:tcBorders>
              <w:bottom w:val="single" w:sz="8" w:color="949599"/>
            </w:tcBorders>
          </w:tcPr>
          <w:p>
            <w:pPr>
              <w:ind w:left="40"/>
              <w:spacing w:after="0"/>
              <w:rPr>
                <w:sz w:val="20"/>
                <w:szCs w:val="20"/>
                <w:color w:val="auto"/>
              </w:rPr>
            </w:pPr>
            <w:r>
              <w:rPr>
                <w:rFonts w:ascii="Arial" w:cs="Arial" w:eastAsia="Arial" w:hAnsi="Arial"/>
                <w:sz w:val="16"/>
                <w:szCs w:val="16"/>
                <w:color w:val="auto"/>
              </w:rPr>
              <w:t>$8.76</w:t>
            </w:r>
          </w:p>
        </w:tc>
        <w:tc>
          <w:tcPr>
            <w:tcW w:w="542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50</w:t>
            </w:r>
          </w:p>
        </w:tc>
      </w:tr>
      <w:tr>
        <w:trPr>
          <w:trHeight w:val="206"/>
        </w:trPr>
        <w:tc>
          <w:tcPr>
            <w:tcW w:w="5820" w:type="dxa"/>
            <w:vAlign w:val="bottom"/>
            <w:tcBorders>
              <w:bottom w:val="single" w:sz="8" w:color="949599"/>
            </w:tcBorders>
          </w:tcPr>
          <w:p>
            <w:pPr>
              <w:ind w:left="40"/>
              <w:spacing w:after="0"/>
              <w:rPr>
                <w:sz w:val="20"/>
                <w:szCs w:val="20"/>
                <w:color w:val="auto"/>
              </w:rPr>
            </w:pPr>
            <w:r>
              <w:rPr>
                <w:rFonts w:ascii="Arial" w:cs="Arial" w:eastAsia="Arial" w:hAnsi="Arial"/>
                <w:sz w:val="16"/>
                <w:szCs w:val="16"/>
                <w:color w:val="auto"/>
              </w:rPr>
              <w:t>$9.05</w:t>
            </w:r>
          </w:p>
        </w:tc>
        <w:tc>
          <w:tcPr>
            <w:tcW w:w="542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100</w:t>
            </w:r>
          </w:p>
        </w:tc>
      </w:tr>
      <w:tr>
        <w:trPr>
          <w:trHeight w:val="216"/>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$9.35</w:t>
            </w:r>
          </w:p>
        </w:tc>
        <w:tc>
          <w:tcPr>
            <w:tcW w:w="5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r>
    </w:tbl>
    <w:p>
      <w:pPr>
        <w:spacing w:after="0" w:line="32" w:lineRule="exact"/>
        <w:rPr>
          <w:sz w:val="20"/>
          <w:szCs w:val="20"/>
          <w:color w:val="auto"/>
        </w:rPr>
      </w:pPr>
    </w:p>
    <w:p>
      <w:pPr>
        <w:ind w:left="300" w:hanging="294"/>
        <w:spacing w:after="0"/>
        <w:tabs>
          <w:tab w:leader="none" w:pos="300" w:val="left"/>
        </w:tabs>
        <w:numPr>
          <w:ilvl w:val="0"/>
          <w:numId w:val="39"/>
        </w:numPr>
        <w:rPr>
          <w:rFonts w:ascii="Arial" w:cs="Arial" w:eastAsia="Arial" w:hAnsi="Arial"/>
          <w:sz w:val="24"/>
          <w:szCs w:val="24"/>
          <w:color w:val="auto"/>
          <w:vertAlign w:val="superscript"/>
        </w:rPr>
      </w:pPr>
      <w:r>
        <w:rPr>
          <w:rFonts w:ascii="Arial" w:cs="Arial" w:eastAsia="Arial" w:hAnsi="Arial"/>
          <w:sz w:val="14"/>
          <w:szCs w:val="14"/>
          <w:color w:val="auto"/>
        </w:rPr>
        <w:t>Adjusted earnings per share is a non-GAAP financial measure and is defined and reconciled to diluted earnings per share on a GAAP basis in Appendix A.</w:t>
      </w:r>
    </w:p>
    <w:p>
      <w:pPr>
        <w:spacing w:after="0" w:line="146" w:lineRule="exact"/>
        <w:rPr>
          <w:sz w:val="20"/>
          <w:szCs w:val="20"/>
          <w:color w:val="auto"/>
        </w:rPr>
      </w:pPr>
    </w:p>
    <w:p>
      <w:pPr>
        <w:jc w:val="both"/>
        <w:ind w:right="80"/>
        <w:spacing w:after="0" w:line="273" w:lineRule="auto"/>
        <w:rPr>
          <w:sz w:val="20"/>
          <w:szCs w:val="20"/>
          <w:color w:val="auto"/>
        </w:rPr>
      </w:pPr>
      <w:r>
        <w:rPr>
          <w:rFonts w:ascii="Arial" w:cs="Arial" w:eastAsia="Arial" w:hAnsi="Arial"/>
          <w:sz w:val="15"/>
          <w:szCs w:val="15"/>
          <w:color w:val="auto"/>
        </w:rPr>
        <w:t>The Committee also reserved the ability to exercise discretion to adjust the payout within a range to reflect performance in areas such as safety, sustainability, diversity, productivity, progress on strategic objectives and other individual performance factors. The actual payout factor can range from 30 percentage points below the initial payout factor described above to 30 percentage points above such initial payout factor based on this application of discretion.</w:t>
      </w:r>
    </w:p>
    <w:p>
      <w:pPr>
        <w:spacing w:after="0" w:line="11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7155180" cy="209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009A4B"/>
        </w:rPr>
        <w:t>DETERMINATION OF ANNUAL INCENTIVE PLAN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-49530</wp:posOffset>
            </wp:positionV>
            <wp:extent cx="4048760"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40487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85090</wp:posOffset>
            </wp:positionV>
            <wp:extent cx="7134225" cy="70167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134225" cy="70167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494"/>
        </w:trPr>
        <w:tc>
          <w:tcPr>
            <w:tcW w:w="2520" w:type="dxa"/>
            <w:vAlign w:val="bottom"/>
            <w:vMerge w:val="restart"/>
            <w:shd w:val="clear" w:color="auto" w:fill="E7E7E8"/>
          </w:tcPr>
          <w:p>
            <w:pPr>
              <w:ind w:left="140"/>
              <w:spacing w:after="0"/>
              <w:rPr>
                <w:sz w:val="20"/>
                <w:szCs w:val="20"/>
                <w:color w:val="auto"/>
              </w:rPr>
            </w:pPr>
            <w:r>
              <w:rPr>
                <w:rFonts w:ascii="Arial" w:cs="Arial" w:eastAsia="Arial" w:hAnsi="Arial"/>
                <w:sz w:val="16"/>
                <w:szCs w:val="16"/>
                <w:color w:val="auto"/>
              </w:rPr>
              <w:t>Determine Target Award</w:t>
            </w:r>
          </w:p>
        </w:tc>
        <w:tc>
          <w:tcPr>
            <w:tcW w:w="3020" w:type="dxa"/>
            <w:vAlign w:val="bottom"/>
          </w:tcPr>
          <w:p>
            <w:pPr>
              <w:ind w:left="480"/>
              <w:spacing w:after="0"/>
              <w:rPr>
                <w:sz w:val="20"/>
                <w:szCs w:val="20"/>
                <w:color w:val="auto"/>
              </w:rPr>
            </w:pPr>
            <w:r>
              <w:rPr>
                <w:rFonts w:ascii="Arial" w:cs="Arial" w:eastAsia="Arial" w:hAnsi="Arial"/>
                <w:sz w:val="16"/>
                <w:szCs w:val="16"/>
                <w:color w:val="auto"/>
              </w:rPr>
              <w:t>Determine Payout</w:t>
            </w:r>
          </w:p>
        </w:tc>
        <w:tc>
          <w:tcPr>
            <w:tcW w:w="1900" w:type="dxa"/>
            <w:vAlign w:val="bottom"/>
          </w:tcPr>
          <w:p>
            <w:pPr>
              <w:ind w:left="340"/>
              <w:spacing w:after="0"/>
              <w:rPr>
                <w:sz w:val="20"/>
                <w:szCs w:val="20"/>
                <w:color w:val="auto"/>
              </w:rPr>
            </w:pPr>
            <w:r>
              <w:rPr>
                <w:rFonts w:ascii="Arial" w:cs="Arial" w:eastAsia="Arial" w:hAnsi="Arial"/>
                <w:sz w:val="16"/>
                <w:szCs w:val="16"/>
                <w:color w:val="auto"/>
                <w:w w:val="98"/>
              </w:rPr>
              <w:t>Consider Adjustments</w:t>
            </w:r>
          </w:p>
        </w:tc>
        <w:tc>
          <w:tcPr>
            <w:tcW w:w="0" w:type="dxa"/>
            <w:vAlign w:val="bottom"/>
          </w:tcPr>
          <w:p>
            <w:pPr>
              <w:spacing w:after="0"/>
              <w:rPr>
                <w:sz w:val="1"/>
                <w:szCs w:val="1"/>
                <w:color w:val="auto"/>
              </w:rPr>
            </w:pPr>
          </w:p>
        </w:tc>
      </w:tr>
      <w:tr>
        <w:trPr>
          <w:trHeight w:val="93"/>
        </w:trPr>
        <w:tc>
          <w:tcPr>
            <w:tcW w:w="2520" w:type="dxa"/>
            <w:vAlign w:val="bottom"/>
            <w:vMerge w:val="continue"/>
            <w:shd w:val="clear" w:color="auto" w:fill="E7E7E8"/>
          </w:tcPr>
          <w:p>
            <w:pPr>
              <w:spacing w:after="0"/>
              <w:rPr>
                <w:sz w:val="8"/>
                <w:szCs w:val="8"/>
                <w:color w:val="auto"/>
              </w:rPr>
            </w:pPr>
          </w:p>
        </w:tc>
        <w:tc>
          <w:tcPr>
            <w:tcW w:w="3020" w:type="dxa"/>
            <w:vAlign w:val="bottom"/>
            <w:vMerge w:val="restart"/>
          </w:tcPr>
          <w:p>
            <w:pPr>
              <w:ind w:left="480"/>
              <w:spacing w:after="0"/>
              <w:rPr>
                <w:sz w:val="20"/>
                <w:szCs w:val="20"/>
                <w:color w:val="auto"/>
              </w:rPr>
            </w:pPr>
            <w:r>
              <w:rPr>
                <w:rFonts w:ascii="Arial" w:cs="Arial" w:eastAsia="Arial" w:hAnsi="Arial"/>
                <w:sz w:val="16"/>
                <w:szCs w:val="16"/>
                <w:color w:val="auto"/>
              </w:rPr>
              <w:t>Factor Range (after fiscal year-</w:t>
            </w:r>
          </w:p>
        </w:tc>
        <w:tc>
          <w:tcPr>
            <w:tcW w:w="1900" w:type="dxa"/>
            <w:vAlign w:val="bottom"/>
            <w:vMerge w:val="restart"/>
          </w:tcPr>
          <w:p>
            <w:pPr>
              <w:ind w:left="340"/>
              <w:spacing w:after="0"/>
              <w:rPr>
                <w:sz w:val="20"/>
                <w:szCs w:val="20"/>
                <w:color w:val="auto"/>
              </w:rPr>
            </w:pPr>
            <w:r>
              <w:rPr>
                <w:rFonts w:ascii="Arial" w:cs="Arial" w:eastAsia="Arial" w:hAnsi="Arial"/>
                <w:sz w:val="16"/>
                <w:szCs w:val="16"/>
                <w:color w:val="auto"/>
              </w:rPr>
              <w:t>to Determine Actual</w:t>
            </w:r>
          </w:p>
        </w:tc>
        <w:tc>
          <w:tcPr>
            <w:tcW w:w="0" w:type="dxa"/>
            <w:vAlign w:val="bottom"/>
          </w:tcPr>
          <w:p>
            <w:pPr>
              <w:spacing w:after="0"/>
              <w:rPr>
                <w:sz w:val="1"/>
                <w:szCs w:val="1"/>
                <w:color w:val="auto"/>
              </w:rPr>
            </w:pPr>
          </w:p>
        </w:tc>
      </w:tr>
      <w:tr>
        <w:trPr>
          <w:trHeight w:val="93"/>
        </w:trPr>
        <w:tc>
          <w:tcPr>
            <w:tcW w:w="2520" w:type="dxa"/>
            <w:vAlign w:val="bottom"/>
            <w:vMerge w:val="restart"/>
            <w:shd w:val="clear" w:color="auto" w:fill="E7E7E8"/>
          </w:tcPr>
          <w:p>
            <w:pPr>
              <w:ind w:left="140"/>
              <w:spacing w:after="0"/>
              <w:rPr>
                <w:sz w:val="20"/>
                <w:szCs w:val="20"/>
                <w:color w:val="auto"/>
              </w:rPr>
            </w:pPr>
            <w:r>
              <w:rPr>
                <w:rFonts w:ascii="Arial" w:cs="Arial" w:eastAsia="Arial" w:hAnsi="Arial"/>
                <w:sz w:val="16"/>
                <w:szCs w:val="16"/>
                <w:color w:val="auto"/>
              </w:rPr>
              <w:t>(beginning of fiscal year)</w:t>
            </w:r>
          </w:p>
        </w:tc>
        <w:tc>
          <w:tcPr>
            <w:tcW w:w="302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520" w:type="dxa"/>
            <w:vAlign w:val="bottom"/>
            <w:vMerge w:val="continue"/>
            <w:shd w:val="clear" w:color="auto" w:fill="E7E7E8"/>
          </w:tcPr>
          <w:p>
            <w:pPr>
              <w:spacing w:after="0"/>
              <w:rPr>
                <w:sz w:val="8"/>
                <w:szCs w:val="8"/>
                <w:color w:val="auto"/>
              </w:rPr>
            </w:pPr>
          </w:p>
        </w:tc>
        <w:tc>
          <w:tcPr>
            <w:tcW w:w="3020" w:type="dxa"/>
            <w:vAlign w:val="bottom"/>
            <w:vMerge w:val="restart"/>
          </w:tcPr>
          <w:p>
            <w:pPr>
              <w:ind w:left="480"/>
              <w:spacing w:after="0"/>
              <w:rPr>
                <w:sz w:val="20"/>
                <w:szCs w:val="20"/>
                <w:color w:val="auto"/>
              </w:rPr>
            </w:pPr>
            <w:r>
              <w:rPr>
                <w:rFonts w:ascii="Arial" w:cs="Arial" w:eastAsia="Arial" w:hAnsi="Arial"/>
                <w:sz w:val="16"/>
                <w:szCs w:val="16"/>
                <w:color w:val="auto"/>
              </w:rPr>
              <w:t>end)</w:t>
            </w:r>
          </w:p>
        </w:tc>
        <w:tc>
          <w:tcPr>
            <w:tcW w:w="1900" w:type="dxa"/>
            <w:vAlign w:val="bottom"/>
            <w:vMerge w:val="restart"/>
          </w:tcPr>
          <w:p>
            <w:pPr>
              <w:ind w:left="340"/>
              <w:spacing w:after="0"/>
              <w:rPr>
                <w:sz w:val="20"/>
                <w:szCs w:val="20"/>
                <w:color w:val="auto"/>
              </w:rPr>
            </w:pPr>
            <w:r>
              <w:rPr>
                <w:rFonts w:ascii="Arial" w:cs="Arial" w:eastAsia="Arial" w:hAnsi="Arial"/>
                <w:sz w:val="16"/>
                <w:szCs w:val="16"/>
                <w:color w:val="auto"/>
              </w:rPr>
              <w:t>Payout Factor</w:t>
            </w:r>
          </w:p>
        </w:tc>
        <w:tc>
          <w:tcPr>
            <w:tcW w:w="0" w:type="dxa"/>
            <w:vAlign w:val="bottom"/>
          </w:tcPr>
          <w:p>
            <w:pPr>
              <w:spacing w:after="0"/>
              <w:rPr>
                <w:sz w:val="1"/>
                <w:szCs w:val="1"/>
                <w:color w:val="auto"/>
              </w:rPr>
            </w:pPr>
          </w:p>
        </w:tc>
      </w:tr>
      <w:tr>
        <w:trPr>
          <w:trHeight w:val="93"/>
        </w:trPr>
        <w:tc>
          <w:tcPr>
            <w:tcW w:w="2520" w:type="dxa"/>
            <w:vAlign w:val="bottom"/>
            <w:shd w:val="clear" w:color="auto" w:fill="E7E7E8"/>
          </w:tcPr>
          <w:p>
            <w:pPr>
              <w:spacing w:after="0"/>
              <w:rPr>
                <w:sz w:val="8"/>
                <w:szCs w:val="8"/>
                <w:color w:val="auto"/>
              </w:rPr>
            </w:pPr>
          </w:p>
        </w:tc>
        <w:tc>
          <w:tcPr>
            <w:tcW w:w="302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2520" w:type="dxa"/>
            <w:vAlign w:val="bottom"/>
            <w:shd w:val="clear" w:color="auto" w:fill="E7E7E8"/>
          </w:tcPr>
          <w:p>
            <w:pPr>
              <w:spacing w:after="0"/>
              <w:rPr>
                <w:sz w:val="20"/>
                <w:szCs w:val="20"/>
                <w:color w:val="auto"/>
              </w:rPr>
            </w:pPr>
          </w:p>
        </w:tc>
        <w:tc>
          <w:tcPr>
            <w:tcW w:w="30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factors were considered when determining bonus payout.</w:t>
      </w:r>
    </w:p>
    <w:p>
      <w:pPr>
        <w:spacing w:after="0" w:line="142" w:lineRule="exact"/>
        <w:rPr>
          <w:sz w:val="20"/>
          <w:szCs w:val="20"/>
          <w:color w:val="auto"/>
        </w:rPr>
      </w:pPr>
    </w:p>
    <w:p>
      <w:pPr>
        <w:ind w:left="400" w:hanging="207"/>
        <w:spacing w:after="0"/>
        <w:tabs>
          <w:tab w:leader="none" w:pos="400" w:val="left"/>
        </w:tabs>
        <w:numPr>
          <w:ilvl w:val="0"/>
          <w:numId w:val="40"/>
        </w:numPr>
        <w:rPr>
          <w:rFonts w:ascii="Arial" w:cs="Arial" w:eastAsia="Arial" w:hAnsi="Arial"/>
          <w:sz w:val="16"/>
          <w:szCs w:val="16"/>
          <w:color w:val="009A4B"/>
        </w:rPr>
      </w:pPr>
      <w:r>
        <w:rPr>
          <w:rFonts w:ascii="Arial" w:cs="Arial" w:eastAsia="Arial" w:hAnsi="Arial"/>
          <w:sz w:val="16"/>
          <w:szCs w:val="16"/>
          <w:b w:val="1"/>
          <w:bCs w:val="1"/>
          <w:color w:val="auto"/>
        </w:rPr>
        <w:t>Financial Performance</w:t>
      </w:r>
      <w:r>
        <w:rPr>
          <w:rFonts w:ascii="Arial" w:cs="Arial" w:eastAsia="Arial" w:hAnsi="Arial"/>
          <w:sz w:val="16"/>
          <w:szCs w:val="16"/>
          <w:color w:val="auto"/>
        </w:rPr>
        <w:t>: Adjusted Earnings Per Share increased 8% over fiscal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Multiply Actual Payout Factor by Target Award</w:t>
      </w:r>
    </w:p>
    <w:p>
      <w:pPr>
        <w:spacing w:after="0" w:line="1094" w:lineRule="exact"/>
        <w:rPr>
          <w:sz w:val="20"/>
          <w:szCs w:val="20"/>
          <w:color w:val="auto"/>
        </w:rPr>
      </w:pPr>
    </w:p>
    <w:p>
      <w:pPr>
        <w:sectPr>
          <w:pgSz w:w="11900" w:h="16838" w:orient="portrait"/>
          <w:cols w:equalWidth="0" w:num="2">
            <w:col w:w="8040" w:space="720"/>
            <w:col w:w="2480"/>
          </w:cols>
          <w:pgMar w:left="320" w:top="140" w:right="339" w:bottom="1440" w:gutter="0" w:footer="0" w:header="0"/>
          <w:type w:val="continuous"/>
        </w:sectPr>
      </w:pPr>
    </w:p>
    <w:p>
      <w:pPr>
        <w:ind w:left="400" w:right="180" w:hanging="207"/>
        <w:spacing w:after="0" w:line="280" w:lineRule="auto"/>
        <w:tabs>
          <w:tab w:leader="none" w:pos="400" w:val="left"/>
        </w:tabs>
        <w:numPr>
          <w:ilvl w:val="0"/>
          <w:numId w:val="41"/>
        </w:numPr>
        <w:rPr>
          <w:rFonts w:ascii="Arial" w:cs="Arial" w:eastAsia="Arial" w:hAnsi="Arial"/>
          <w:sz w:val="16"/>
          <w:szCs w:val="16"/>
          <w:color w:val="009A4B"/>
        </w:rPr>
      </w:pPr>
      <w:r>
        <w:rPr>
          <w:rFonts w:ascii="Arial" w:cs="Arial" w:eastAsia="Arial" w:hAnsi="Arial"/>
          <w:sz w:val="16"/>
          <w:szCs w:val="16"/>
          <w:b w:val="1"/>
          <w:bCs w:val="1"/>
          <w:color w:val="auto"/>
        </w:rPr>
        <w:t>Operational Performance</w:t>
      </w:r>
      <w:r>
        <w:rPr>
          <w:rFonts w:ascii="Arial" w:cs="Arial" w:eastAsia="Arial" w:hAnsi="Arial"/>
          <w:sz w:val="16"/>
          <w:szCs w:val="16"/>
          <w:color w:val="auto"/>
        </w:rPr>
        <w:t>: The Company demonstrated continued resilience during well-known global challenges and improved its safety record: 75%</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 in employee lost time injury rate and 33% improvement in employee recordable rate since fiscal 2014.</w:t>
      </w:r>
    </w:p>
    <w:p>
      <w:pPr>
        <w:spacing w:after="0" w:line="49" w:lineRule="exact"/>
        <w:rPr>
          <w:rFonts w:ascii="Arial" w:cs="Arial" w:eastAsia="Arial" w:hAnsi="Arial"/>
          <w:sz w:val="16"/>
          <w:szCs w:val="16"/>
          <w:color w:val="009A4B"/>
        </w:rPr>
      </w:pPr>
    </w:p>
    <w:p>
      <w:pPr>
        <w:ind w:left="400" w:hanging="207"/>
        <w:spacing w:after="0" w:line="280" w:lineRule="auto"/>
        <w:tabs>
          <w:tab w:leader="none" w:pos="400" w:val="left"/>
        </w:tabs>
        <w:numPr>
          <w:ilvl w:val="0"/>
          <w:numId w:val="41"/>
        </w:numPr>
        <w:rPr>
          <w:rFonts w:ascii="Arial" w:cs="Arial" w:eastAsia="Arial" w:hAnsi="Arial"/>
          <w:sz w:val="16"/>
          <w:szCs w:val="16"/>
          <w:color w:val="009A4B"/>
        </w:rPr>
      </w:pPr>
      <w:r>
        <w:rPr>
          <w:rFonts w:ascii="Arial" w:cs="Arial" w:eastAsia="Arial" w:hAnsi="Arial"/>
          <w:sz w:val="16"/>
          <w:szCs w:val="16"/>
          <w:b w:val="1"/>
          <w:bCs w:val="1"/>
          <w:color w:val="auto"/>
        </w:rPr>
        <w:t>Strategic Actions</w:t>
      </w:r>
      <w:r>
        <w:rPr>
          <w:rFonts w:ascii="Arial" w:cs="Arial" w:eastAsia="Arial" w:hAnsi="Arial"/>
          <w:sz w:val="16"/>
          <w:szCs w:val="16"/>
          <w:color w:val="auto"/>
        </w:rPr>
        <w:t>: The Company continued to execute its growth strategy through winning new growth projects around the world to help customers meet</w:t>
      </w:r>
      <w:r>
        <w:rPr>
          <w:rFonts w:ascii="Arial" w:cs="Arial" w:eastAsia="Arial" w:hAnsi="Arial"/>
          <w:sz w:val="16"/>
          <w:szCs w:val="16"/>
          <w:b w:val="1"/>
          <w:bCs w:val="1"/>
          <w:color w:val="auto"/>
        </w:rPr>
        <w:t xml:space="preserve"> </w:t>
      </w:r>
      <w:r>
        <w:rPr>
          <w:rFonts w:ascii="Arial" w:cs="Arial" w:eastAsia="Arial" w:hAnsi="Arial"/>
          <w:sz w:val="16"/>
          <w:szCs w:val="16"/>
          <w:color w:val="auto"/>
        </w:rPr>
        <w:t>their most pressing needs for cleaner energy and environmental solutions.</w:t>
      </w:r>
    </w:p>
    <w:p>
      <w:pPr>
        <w:spacing w:after="0" w:line="123" w:lineRule="exact"/>
        <w:rPr>
          <w:sz w:val="20"/>
          <w:szCs w:val="20"/>
          <w:color w:val="auto"/>
        </w:rPr>
      </w:pPr>
    </w:p>
    <w:p>
      <w:pPr>
        <w:ind w:right="540"/>
        <w:spacing w:after="0" w:line="248" w:lineRule="auto"/>
        <w:rPr>
          <w:sz w:val="20"/>
          <w:szCs w:val="20"/>
          <w:color w:val="auto"/>
        </w:rPr>
      </w:pPr>
      <w:r>
        <w:rPr>
          <w:rFonts w:ascii="Arial" w:cs="Arial" w:eastAsia="Arial" w:hAnsi="Arial"/>
          <w:sz w:val="16"/>
          <w:szCs w:val="16"/>
          <w:color w:val="auto"/>
        </w:rPr>
        <w:t>We continue to focus on a performance-oriented culture. For fiscal 2021, adjusted EPS was $9.02, which resulted in an initial payout factor of 95%. The Committee considered other financial and non-financial performance and approved a final payout factor of 95%, consistent with the scored factor. The Committee did not use discretion or adjust the final payout factor.</w:t>
      </w:r>
    </w:p>
    <w:p>
      <w:pPr>
        <w:spacing w:after="0" w:line="148"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To further align executive incentives with our goal of being the “safest, most diverse and most profitable industrial gas company in the world”, beginning in fiscal 2022 the Company will link performance against our environmental, social, and governance (“ESG”) objectives to its Annual Incentive Plan as follows:</w:t>
      </w:r>
    </w:p>
    <w:p>
      <w:pPr>
        <w:spacing w:after="0" w:line="143" w:lineRule="exact"/>
        <w:rPr>
          <w:sz w:val="20"/>
          <w:szCs w:val="20"/>
          <w:color w:val="auto"/>
        </w:rPr>
      </w:pPr>
    </w:p>
    <w:p>
      <w:pPr>
        <w:ind w:left="400" w:hanging="207"/>
        <w:spacing w:after="0" w:line="254" w:lineRule="auto"/>
        <w:tabs>
          <w:tab w:leader="none" w:pos="400" w:val="left"/>
        </w:tabs>
        <w:numPr>
          <w:ilvl w:val="0"/>
          <w:numId w:val="42"/>
        </w:numPr>
        <w:rPr>
          <w:rFonts w:ascii="Arial" w:cs="Arial" w:eastAsia="Arial" w:hAnsi="Arial"/>
          <w:sz w:val="16"/>
          <w:szCs w:val="16"/>
          <w:color w:val="009A4B"/>
        </w:rPr>
      </w:pPr>
      <w:r>
        <w:rPr>
          <w:rFonts w:ascii="Arial" w:cs="Arial" w:eastAsia="Arial" w:hAnsi="Arial"/>
          <w:sz w:val="16"/>
          <w:szCs w:val="16"/>
          <w:color w:val="auto"/>
        </w:rPr>
        <w:t>the Committee’s current discretion of +/-30 percentage points when determining a final payout factor will be replaced with an ESG modifier of a multiple of 0.8 to 1.2 of the initial payout factor;</w:t>
      </w:r>
    </w:p>
    <w:p>
      <w:pPr>
        <w:spacing w:after="0" w:line="89" w:lineRule="exact"/>
        <w:rPr>
          <w:rFonts w:ascii="Arial" w:cs="Arial" w:eastAsia="Arial" w:hAnsi="Arial"/>
          <w:sz w:val="16"/>
          <w:szCs w:val="16"/>
          <w:color w:val="009A4B"/>
        </w:rPr>
      </w:pPr>
    </w:p>
    <w:p>
      <w:pPr>
        <w:ind w:left="400" w:right="280" w:hanging="207"/>
        <w:spacing w:after="0" w:line="254" w:lineRule="auto"/>
        <w:tabs>
          <w:tab w:leader="none" w:pos="400" w:val="left"/>
        </w:tabs>
        <w:numPr>
          <w:ilvl w:val="0"/>
          <w:numId w:val="42"/>
        </w:numPr>
        <w:rPr>
          <w:rFonts w:ascii="Arial" w:cs="Arial" w:eastAsia="Arial" w:hAnsi="Arial"/>
          <w:sz w:val="16"/>
          <w:szCs w:val="16"/>
          <w:color w:val="009A4B"/>
        </w:rPr>
      </w:pPr>
      <w:r>
        <w:rPr>
          <w:rFonts w:ascii="Arial" w:cs="Arial" w:eastAsia="Arial" w:hAnsi="Arial"/>
          <w:sz w:val="16"/>
          <w:szCs w:val="16"/>
          <w:color w:val="auto"/>
        </w:rPr>
        <w:t>the ESG modifier will reflect the Committee’s consideration of the executive officers’ role in advancing the Company’s safety, culture and diversity, and environmental performance;</w:t>
      </w:r>
    </w:p>
    <w:p>
      <w:pPr>
        <w:spacing w:after="0" w:line="89" w:lineRule="exact"/>
        <w:rPr>
          <w:rFonts w:ascii="Arial" w:cs="Arial" w:eastAsia="Arial" w:hAnsi="Arial"/>
          <w:sz w:val="16"/>
          <w:szCs w:val="16"/>
          <w:color w:val="009A4B"/>
        </w:rPr>
      </w:pPr>
    </w:p>
    <w:p>
      <w:pPr>
        <w:ind w:left="400" w:right="220" w:hanging="207"/>
        <w:spacing w:after="0" w:line="254" w:lineRule="auto"/>
        <w:tabs>
          <w:tab w:leader="none" w:pos="400" w:val="left"/>
        </w:tabs>
        <w:numPr>
          <w:ilvl w:val="0"/>
          <w:numId w:val="42"/>
        </w:numPr>
        <w:rPr>
          <w:rFonts w:ascii="Arial" w:cs="Arial" w:eastAsia="Arial" w:hAnsi="Arial"/>
          <w:sz w:val="16"/>
          <w:szCs w:val="16"/>
          <w:color w:val="009A4B"/>
        </w:rPr>
      </w:pPr>
      <w:r>
        <w:rPr>
          <w:rFonts w:ascii="Arial" w:cs="Arial" w:eastAsia="Arial" w:hAnsi="Arial"/>
          <w:sz w:val="16"/>
          <w:szCs w:val="16"/>
          <w:color w:val="auto"/>
        </w:rPr>
        <w:t>similar to the current plus/minus discretion, the ESG modifier will be “universal”, meaning that the same payout adjustment will apply consistently for all executive officers; and</w:t>
      </w:r>
    </w:p>
    <w:p>
      <w:pPr>
        <w:spacing w:after="0" w:line="89" w:lineRule="exact"/>
        <w:rPr>
          <w:rFonts w:ascii="Arial" w:cs="Arial" w:eastAsia="Arial" w:hAnsi="Arial"/>
          <w:sz w:val="16"/>
          <w:szCs w:val="16"/>
          <w:color w:val="009A4B"/>
        </w:rPr>
      </w:pPr>
    </w:p>
    <w:p>
      <w:pPr>
        <w:ind w:left="400" w:right="100" w:hanging="207"/>
        <w:spacing w:after="0" w:line="254" w:lineRule="auto"/>
        <w:tabs>
          <w:tab w:leader="none" w:pos="400" w:val="left"/>
        </w:tabs>
        <w:numPr>
          <w:ilvl w:val="0"/>
          <w:numId w:val="42"/>
        </w:numPr>
        <w:rPr>
          <w:rFonts w:ascii="Arial" w:cs="Arial" w:eastAsia="Arial" w:hAnsi="Arial"/>
          <w:sz w:val="16"/>
          <w:szCs w:val="16"/>
          <w:color w:val="009A4B"/>
        </w:rPr>
      </w:pPr>
      <w:r>
        <w:rPr>
          <w:rFonts w:ascii="Arial" w:cs="Arial" w:eastAsia="Arial" w:hAnsi="Arial"/>
          <w:sz w:val="16"/>
          <w:szCs w:val="16"/>
          <w:color w:val="auto"/>
        </w:rPr>
        <w:t xml:space="preserve">the maximum award (as a percentage of target) will increase from 230% of the initial payout factor (200% scored payout plus up to 30 percentage points of upward discretion) to 240% (200% scored payout multiplied by up to 1.2, </w:t>
      </w:r>
      <w:r>
        <w:rPr>
          <w:rFonts w:ascii="Arial" w:cs="Arial" w:eastAsia="Arial" w:hAnsi="Arial"/>
          <w:sz w:val="16"/>
          <w:szCs w:val="16"/>
          <w:i w:val="1"/>
          <w:iCs w:val="1"/>
          <w:color w:val="auto"/>
        </w:rPr>
        <w:t>i.e</w:t>
      </w:r>
      <w:r>
        <w:rPr>
          <w:rFonts w:ascii="Arial" w:cs="Arial" w:eastAsia="Arial" w:hAnsi="Arial"/>
          <w:sz w:val="16"/>
          <w:szCs w:val="16"/>
          <w:color w:val="auto"/>
        </w:rPr>
        <w:t>., the maximum ESG modifier).</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color w:val="009A4B"/>
        </w:rPr>
        <w:t>Discretionary Bonuses</w:t>
      </w:r>
    </w:p>
    <w:p>
      <w:pPr>
        <w:spacing w:after="0" w:line="219"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In addition to amounts paid under the Annual Incentive Plan, from time to time we pay discretionary cash bonuses as recruitment or retention incentives or in recognition of outstanding performance. No discretionary bonuses were paid to the Company’s named executive officers for fiscal 2021. However, following the end of the fiscal year, discretionary bonuses of $1,775,000, $500,000 and $1,500,000 were paid to Messrs. Crocco and Major and Dr. Serhan, respectively, in connection with the contributions each provided to achieving the October 2021 financial closing of the Jazan gasification project. As Mr. Crocco had retired on September 30, 2021, his payment was conditioned upon the execution of a customary post-employment release of claims arising from or relating to his service with the Company. As these amounts were earned with respect to an event that occurred in fiscal 2022, they are not reflected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97155</wp:posOffset>
            </wp:positionV>
            <wp:extent cx="845185" cy="20256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45185" cy="20256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7155180" cy="209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009A4B"/>
        </w:rPr>
        <w:t>Long-Term Incentives</w:t>
      </w:r>
    </w:p>
    <w:p>
      <w:pPr>
        <w:spacing w:after="0" w:line="219" w:lineRule="exact"/>
        <w:rPr>
          <w:sz w:val="20"/>
          <w:szCs w:val="20"/>
          <w:color w:val="auto"/>
        </w:rPr>
      </w:pPr>
    </w:p>
    <w:p>
      <w:pPr>
        <w:ind w:right="220"/>
        <w:spacing w:after="0" w:line="263" w:lineRule="auto"/>
        <w:rPr>
          <w:sz w:val="20"/>
          <w:szCs w:val="20"/>
          <w:color w:val="auto"/>
        </w:rPr>
      </w:pPr>
      <w:r>
        <w:rPr>
          <w:rFonts w:ascii="Arial" w:cs="Arial" w:eastAsia="Arial" w:hAnsi="Arial"/>
          <w:sz w:val="15"/>
          <w:szCs w:val="15"/>
          <w:color w:val="auto"/>
        </w:rPr>
        <w:t>The Committee believes long-term incentive compensation is the most critical part of executive officer compensation because it creates alignment with shareholders and promotes achievement of long-term financial and strategic objectives. The success of the Company’s business and resulting value for our shareholders is predominantly built on stable, long-term relationships with customers and substantial capital investments that reap returns over a long-term time horizon through technological differentiation, cost control and operational efficiencies. Reflecting this long-term business model, the Committee emphasizes long-term incentive compensation designed to ensure that the decisions being made today build value for the long-term and reward sustainable growth, disciplined capital investment, sustainable cost reduction and consistent operational excellence. For fiscal 2021, the Committee selected two components for the executive officer’s long-term incentives: performance shares, which are conditioned on performance over a three-year period (for fiscal 2021 grants, relative TSR for fiscal 2021-2023); and RSUs, which link executive officers’ interests to shareholder returns and provide a retention incentive.</w:t>
      </w:r>
    </w:p>
    <w:p>
      <w:pPr>
        <w:spacing w:after="0" w:line="139" w:lineRule="exact"/>
        <w:rPr>
          <w:sz w:val="20"/>
          <w:szCs w:val="20"/>
          <w:color w:val="auto"/>
        </w:rPr>
      </w:pPr>
    </w:p>
    <w:p>
      <w:pPr>
        <w:ind w:right="160"/>
        <w:spacing w:after="0" w:line="246" w:lineRule="auto"/>
        <w:rPr>
          <w:sz w:val="20"/>
          <w:szCs w:val="20"/>
          <w:color w:val="auto"/>
        </w:rPr>
      </w:pPr>
      <w:r>
        <w:rPr>
          <w:rFonts w:ascii="Arial" w:cs="Arial" w:eastAsia="Arial" w:hAnsi="Arial"/>
          <w:sz w:val="16"/>
          <w:szCs w:val="16"/>
          <w:color w:val="auto"/>
        </w:rPr>
        <w:t>For fiscal 2021, the mix of intended long-term incentive value for executive officers was 60% performance shares and 40% RSUs. The Committee chose this mix to provide a balance of stock-based compensation to encourage above-market performance and talent retention. Because both components of an executive officer’s long-term incentive opportunity are delivered in stock-based awards, their value is based on our stock price, which serves the Committee’s objective of creating alignment with shareholders.</w:t>
      </w:r>
    </w:p>
    <w:p>
      <w:pPr>
        <w:spacing w:after="0" w:line="151" w:lineRule="exact"/>
        <w:rPr>
          <w:sz w:val="20"/>
          <w:szCs w:val="20"/>
          <w:color w:val="auto"/>
        </w:rPr>
      </w:pPr>
    </w:p>
    <w:p>
      <w:pPr>
        <w:ind w:right="140"/>
        <w:spacing w:after="0" w:line="258" w:lineRule="auto"/>
        <w:rPr>
          <w:sz w:val="20"/>
          <w:szCs w:val="20"/>
          <w:color w:val="auto"/>
        </w:rPr>
      </w:pPr>
      <w:r>
        <w:rPr>
          <w:rFonts w:ascii="Arial" w:cs="Arial" w:eastAsia="Arial" w:hAnsi="Arial"/>
          <w:sz w:val="15"/>
          <w:szCs w:val="15"/>
          <w:color w:val="auto"/>
        </w:rPr>
        <w:t>The Committee determined the level of long-term incentive grants for fiscal 2021 at the beginning of the fiscal year. Prior to making the grants, the Committee established an intended long-term incentive value for each executive officer. When setting these intended values, the Committee considered the Survey and Peer Reference Group competitive data and target total direct compensation opportunities. It is the Committee’s intent that the long-term incentive value and</w:t>
      </w:r>
    </w:p>
    <w:p>
      <w:pPr>
        <w:ind w:right="220"/>
        <w:spacing w:after="0" w:line="223" w:lineRule="auto"/>
        <w:rPr>
          <w:sz w:val="20"/>
          <w:szCs w:val="20"/>
          <w:color w:val="auto"/>
        </w:rPr>
      </w:pPr>
      <w:r>
        <w:rPr>
          <w:rFonts w:ascii="Arial" w:cs="Arial" w:eastAsia="Arial" w:hAnsi="Arial"/>
          <w:sz w:val="16"/>
          <w:szCs w:val="16"/>
          <w:color w:val="auto"/>
        </w:rPr>
        <w:t>total direct compensation opportunity for Mr. Ghasemi be at the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the Peer Reference Group to reflect Mr. Ghasemi’s superior performance throughout his tenure with Air Products. It is the Committee’s intent that for executive officers other than our CEO, the long-term incentive value approximate the market median and the total direct compensation opportunity for such executive officers approximate the market median level when combined with base salary and target Annual Incentive Plan awards.</w:t>
      </w:r>
    </w:p>
    <w:p>
      <w:pPr>
        <w:spacing w:after="0" w:line="157" w:lineRule="exact"/>
        <w:rPr>
          <w:sz w:val="20"/>
          <w:szCs w:val="20"/>
          <w:color w:val="auto"/>
        </w:rPr>
      </w:pPr>
    </w:p>
    <w:p>
      <w:pPr>
        <w:ind w:right="120"/>
        <w:spacing w:after="0" w:line="258" w:lineRule="auto"/>
        <w:rPr>
          <w:sz w:val="20"/>
          <w:szCs w:val="20"/>
          <w:color w:val="auto"/>
        </w:rPr>
      </w:pPr>
      <w:r>
        <w:rPr>
          <w:rFonts w:ascii="Arial" w:cs="Arial" w:eastAsia="Arial" w:hAnsi="Arial"/>
          <w:sz w:val="15"/>
          <w:szCs w:val="15"/>
          <w:color w:val="auto"/>
        </w:rPr>
        <w:t>Individual performance or other factors may result in awards that are above or below the market median. These factors include tenure and experience, succession planning and retention, subjective evaluations of performance, historical grant levels and other recent compensation actions with respect to the individual such as special retention awards. For fiscal 2021, all intended long-term incentive values approximated the projected market median (except for the</w:t>
      </w:r>
    </w:p>
    <w:p>
      <w:pPr>
        <w:ind w:right="300"/>
        <w:spacing w:after="0" w:line="209" w:lineRule="auto"/>
        <w:rPr>
          <w:sz w:val="20"/>
          <w:szCs w:val="20"/>
          <w:color w:val="auto"/>
        </w:rPr>
      </w:pPr>
      <w:r>
        <w:rPr>
          <w:rFonts w:ascii="Arial" w:cs="Arial" w:eastAsia="Arial" w:hAnsi="Arial"/>
          <w:sz w:val="16"/>
          <w:szCs w:val="16"/>
          <w:color w:val="auto"/>
        </w:rPr>
        <w:t>CEO value, which remained positioned at the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The actual value realized may differ significantly (up or down) from the intended value due to Company stock price performance over the life of the awards and the extent to which performance goals are met in the case of performance shares.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5440" w:type="dxa"/>
            <w:vAlign w:val="bottom"/>
          </w:tcPr>
          <w:p>
            <w:pPr>
              <w:jc w:val="right"/>
              <w:spacing w:after="0"/>
              <w:rPr>
                <w:sz w:val="20"/>
                <w:szCs w:val="20"/>
                <w:color w:val="auto"/>
              </w:rPr>
            </w:pPr>
            <w:r>
              <w:rPr>
                <w:rFonts w:ascii="Arial" w:cs="Arial" w:eastAsia="Arial" w:hAnsi="Arial"/>
                <w:sz w:val="14"/>
                <w:szCs w:val="14"/>
                <w:b w:val="1"/>
                <w:bCs w:val="1"/>
                <w:color w:val="auto"/>
              </w:rPr>
              <w:t>Intended Long-Term</w:t>
            </w:r>
          </w:p>
        </w:tc>
      </w:tr>
      <w:tr>
        <w:trPr>
          <w:trHeight w:val="160"/>
        </w:trPr>
        <w:tc>
          <w:tcPr>
            <w:tcW w:w="5800" w:type="dxa"/>
            <w:vAlign w:val="bottom"/>
          </w:tcPr>
          <w:p>
            <w:pPr>
              <w:spacing w:after="0"/>
              <w:rPr>
                <w:sz w:val="13"/>
                <w:szCs w:val="13"/>
                <w:color w:val="auto"/>
              </w:rPr>
            </w:pPr>
          </w:p>
        </w:tc>
        <w:tc>
          <w:tcPr>
            <w:tcW w:w="544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Incentive Value</w:t>
            </w:r>
          </w:p>
        </w:tc>
      </w:tr>
      <w:tr>
        <w:trPr>
          <w:trHeight w:val="206"/>
        </w:trPr>
        <w:tc>
          <w:tcPr>
            <w:tcW w:w="5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Officer</w:t>
            </w:r>
          </w:p>
        </w:tc>
        <w:tc>
          <w:tcPr>
            <w:tcW w:w="5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33"/>
        </w:trPr>
        <w:tc>
          <w:tcPr>
            <w:tcW w:w="5800" w:type="dxa"/>
            <w:vAlign w:val="bottom"/>
            <w:tcBorders>
              <w:bottom w:val="single" w:sz="8" w:color="949599"/>
            </w:tcBorders>
          </w:tcPr>
          <w:p>
            <w:pPr>
              <w:ind w:left="80"/>
              <w:spacing w:after="0"/>
              <w:rPr>
                <w:sz w:val="20"/>
                <w:szCs w:val="20"/>
                <w:color w:val="auto"/>
              </w:rPr>
            </w:pPr>
            <w:r>
              <w:rPr>
                <w:rFonts w:ascii="Arial" w:cs="Arial" w:eastAsia="Arial" w:hAnsi="Arial"/>
                <w:sz w:val="16"/>
                <w:szCs w:val="16"/>
                <w:b w:val="1"/>
                <w:bCs w:val="1"/>
                <w:color w:val="009A4B"/>
              </w:rPr>
              <w:t>Seifi Ghasemi</w:t>
            </w:r>
          </w:p>
        </w:tc>
        <w:tc>
          <w:tcPr>
            <w:tcW w:w="544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11,000,000</w:t>
            </w:r>
          </w:p>
        </w:tc>
      </w:tr>
      <w:tr>
        <w:trPr>
          <w:trHeight w:val="280"/>
        </w:trPr>
        <w:tc>
          <w:tcPr>
            <w:tcW w:w="5800" w:type="dxa"/>
            <w:vAlign w:val="bottom"/>
            <w:tcBorders>
              <w:bottom w:val="single" w:sz="8" w:color="949599"/>
            </w:tcBorders>
          </w:tcPr>
          <w:p>
            <w:pPr>
              <w:ind w:left="80"/>
              <w:spacing w:after="0" w:line="280" w:lineRule="exact"/>
              <w:rPr>
                <w:sz w:val="20"/>
                <w:szCs w:val="20"/>
                <w:color w:val="auto"/>
              </w:rPr>
            </w:pPr>
            <w:r>
              <w:rPr>
                <w:rFonts w:ascii="Arial" w:cs="Arial" w:eastAsia="Arial" w:hAnsi="Arial"/>
                <w:sz w:val="16"/>
                <w:szCs w:val="16"/>
                <w:b w:val="1"/>
                <w:bCs w:val="1"/>
                <w:color w:val="009A4B"/>
              </w:rPr>
              <w:t>Melissa N. Schaeffer</w:t>
            </w:r>
            <w:r>
              <w:rPr>
                <w:rFonts w:ascii="Arial" w:cs="Arial" w:eastAsia="Arial" w:hAnsi="Arial"/>
                <w:sz w:val="26"/>
                <w:szCs w:val="26"/>
                <w:b w:val="1"/>
                <w:bCs w:val="1"/>
                <w:color w:val="009A4B"/>
                <w:vertAlign w:val="superscript"/>
              </w:rPr>
              <w:t>(1)</w:t>
            </w:r>
          </w:p>
        </w:tc>
        <w:tc>
          <w:tcPr>
            <w:tcW w:w="544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330,000</w:t>
            </w:r>
          </w:p>
        </w:tc>
      </w:tr>
      <w:tr>
        <w:trPr>
          <w:trHeight w:val="226"/>
        </w:trPr>
        <w:tc>
          <w:tcPr>
            <w:tcW w:w="5800" w:type="dxa"/>
            <w:vAlign w:val="bottom"/>
            <w:tcBorders>
              <w:bottom w:val="single" w:sz="8" w:color="949599"/>
            </w:tcBorders>
          </w:tcPr>
          <w:p>
            <w:pPr>
              <w:ind w:left="80"/>
              <w:spacing w:after="0"/>
              <w:rPr>
                <w:sz w:val="20"/>
                <w:szCs w:val="20"/>
                <w:color w:val="auto"/>
              </w:rPr>
            </w:pPr>
            <w:r>
              <w:rPr>
                <w:rFonts w:ascii="Arial" w:cs="Arial" w:eastAsia="Arial" w:hAnsi="Arial"/>
                <w:sz w:val="16"/>
                <w:szCs w:val="16"/>
                <w:b w:val="1"/>
                <w:bCs w:val="1"/>
                <w:color w:val="009A4B"/>
              </w:rPr>
              <w:t>M. Scott Crocco</w:t>
            </w:r>
          </w:p>
        </w:tc>
        <w:tc>
          <w:tcPr>
            <w:tcW w:w="544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1,700,000</w:t>
            </w:r>
          </w:p>
        </w:tc>
      </w:tr>
      <w:tr>
        <w:trPr>
          <w:trHeight w:val="233"/>
        </w:trPr>
        <w:tc>
          <w:tcPr>
            <w:tcW w:w="5800" w:type="dxa"/>
            <w:vAlign w:val="bottom"/>
            <w:tcBorders>
              <w:bottom w:val="single" w:sz="8" w:color="949599"/>
            </w:tcBorders>
          </w:tcPr>
          <w:p>
            <w:pPr>
              <w:ind w:left="80"/>
              <w:spacing w:after="0"/>
              <w:rPr>
                <w:sz w:val="20"/>
                <w:szCs w:val="20"/>
                <w:color w:val="auto"/>
              </w:rPr>
            </w:pPr>
            <w:r>
              <w:rPr>
                <w:rFonts w:ascii="Arial" w:cs="Arial" w:eastAsia="Arial" w:hAnsi="Arial"/>
                <w:sz w:val="16"/>
                <w:szCs w:val="16"/>
                <w:b w:val="1"/>
                <w:bCs w:val="1"/>
                <w:color w:val="009A4B"/>
              </w:rPr>
              <w:t>Sean D. Major</w:t>
            </w:r>
          </w:p>
        </w:tc>
        <w:tc>
          <w:tcPr>
            <w:tcW w:w="544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1,400,000</w:t>
            </w:r>
          </w:p>
        </w:tc>
      </w:tr>
      <w:tr>
        <w:trPr>
          <w:trHeight w:val="246"/>
        </w:trPr>
        <w:tc>
          <w:tcPr>
            <w:tcW w:w="58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009A4B"/>
              </w:rPr>
              <w:t>Samir J. Serhan</w:t>
            </w:r>
          </w:p>
        </w:tc>
        <w:tc>
          <w:tcPr>
            <w:tcW w:w="5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2,000,000</w:t>
            </w:r>
          </w:p>
        </w:tc>
      </w:tr>
    </w:tbl>
    <w:p>
      <w:pPr>
        <w:ind w:left="360" w:hanging="354"/>
        <w:spacing w:after="0" w:line="198" w:lineRule="auto"/>
        <w:tabs>
          <w:tab w:leader="none" w:pos="360" w:val="left"/>
        </w:tabs>
        <w:numPr>
          <w:ilvl w:val="0"/>
          <w:numId w:val="43"/>
        </w:numPr>
        <w:rPr>
          <w:rFonts w:ascii="Arial" w:cs="Arial" w:eastAsia="Arial" w:hAnsi="Arial"/>
          <w:sz w:val="24"/>
          <w:szCs w:val="24"/>
          <w:color w:val="auto"/>
          <w:vertAlign w:val="superscript"/>
        </w:rPr>
      </w:pPr>
      <w:r>
        <w:rPr>
          <w:rFonts w:ascii="Arial" w:cs="Arial" w:eastAsia="Arial" w:hAnsi="Arial"/>
          <w:sz w:val="14"/>
          <w:szCs w:val="14"/>
          <w:color w:val="auto"/>
        </w:rPr>
        <w:t>Ms. Schaeffer’s long-term incentive value was determined in early fiscal 2021, prior to her promotion to CFO.</w:t>
      </w:r>
    </w:p>
    <w:p>
      <w:pPr>
        <w:spacing w:after="0" w:line="203" w:lineRule="exact"/>
        <w:rPr>
          <w:sz w:val="20"/>
          <w:szCs w:val="20"/>
          <w:color w:val="auto"/>
        </w:rPr>
      </w:pPr>
    </w:p>
    <w:p>
      <w:pPr>
        <w:spacing w:after="0"/>
        <w:rPr>
          <w:sz w:val="20"/>
          <w:szCs w:val="20"/>
          <w:color w:val="auto"/>
        </w:rPr>
      </w:pPr>
      <w:r>
        <w:rPr>
          <w:rFonts w:ascii="Arial" w:cs="Arial" w:eastAsia="Arial" w:hAnsi="Arial"/>
          <w:sz w:val="23"/>
          <w:szCs w:val="23"/>
          <w:color w:val="auto"/>
        </w:rPr>
        <w:t>Performance Shares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009A4B"/>
        </w:rPr>
        <w:t>FISCAL 2021 PERFORMANCE SHARE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2540000</wp:posOffset>
            </wp:positionH>
            <wp:positionV relativeFrom="paragraph">
              <wp:posOffset>-57150</wp:posOffset>
            </wp:positionV>
            <wp:extent cx="4598670"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4598670" cy="8255"/>
                    </a:xfrm>
                    <a:prstGeom prst="rect">
                      <a:avLst/>
                    </a:prstGeom>
                    <a:noFill/>
                  </pic:spPr>
                </pic:pic>
              </a:graphicData>
            </a:graphic>
          </wp:anchor>
        </w:drawing>
      </w:r>
    </w:p>
    <w:p>
      <w:pPr>
        <w:spacing w:after="0" w:line="157"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In fiscal 2021, performance shares made up the majority of the long-term incentives granted to our executive officers. Performance shares entitle the recipient to one share of Company stock and accumulated dividend equivalents for each performance share earned upon the satisfaction of performance objectives and other conditions to earning the award. Performance shares are granted each year with overlapping three-year performance cycles. The awards are paid out at the end of the three-year period based on the achievement of specified performance goals. Payouts of performance shares range from</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7155180" cy="209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color w:val="auto"/>
        </w:rPr>
        <w:t>0% to 200% of the target level of shares awarded. The target level for fiscal 2021 grants (60% of the total intended long-term incentive value for each executive officer) was converted to a number of deferred stock units based on the average NYSE closing stock price for the 10 trading days preceding the grant date. The actual number of performance shares earned is determined by multiplying the target number of shares by a payout factor, which is subject to adjustment by the Committee within a narrow range (+/- 15 percentage points) to address performance factors that may not be reflected in relative TSR results.</w:t>
      </w:r>
    </w:p>
    <w:p>
      <w:pPr>
        <w:spacing w:after="0" w:line="135" w:lineRule="exact"/>
        <w:rPr>
          <w:sz w:val="20"/>
          <w:szCs w:val="20"/>
          <w:color w:val="auto"/>
        </w:rPr>
      </w:pPr>
    </w:p>
    <w:p>
      <w:pPr>
        <w:ind w:right="60"/>
        <w:spacing w:after="0" w:line="268" w:lineRule="auto"/>
        <w:rPr>
          <w:sz w:val="20"/>
          <w:szCs w:val="20"/>
          <w:color w:val="auto"/>
        </w:rPr>
      </w:pPr>
      <w:r>
        <w:rPr>
          <w:rFonts w:ascii="Arial" w:cs="Arial" w:eastAsia="Arial" w:hAnsi="Arial"/>
          <w:sz w:val="15"/>
          <w:szCs w:val="15"/>
          <w:color w:val="auto"/>
        </w:rPr>
        <w:t>Fiscal 2021 performance shares were granted conditioned upon the Company’s three-year TSR percentile rank compared to the TSR of Peer Reference Group members over the three-year performance period (fiscal 2021-2023). Beginning with fiscal 2022 performance share grants, the relative TSR comparator group will change to the S&amp;P 500 Index, a broader and more comprehensive relative benchmark for shareholder value creation. The payout factor (for both the fiscal 2021-2023 and fiscal 2022-2024 cycles) will be determined in accordance with the following schedule (with payout factors interpolated between levels):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40" w:type="dxa"/>
            <w:vAlign w:val="bottom"/>
            <w:gridSpan w:val="2"/>
          </w:tcPr>
          <w:p>
            <w:pPr>
              <w:ind w:left="80"/>
              <w:spacing w:after="0"/>
              <w:rPr>
                <w:sz w:val="20"/>
                <w:szCs w:val="20"/>
                <w:color w:val="auto"/>
              </w:rPr>
            </w:pPr>
            <w:r>
              <w:rPr>
                <w:rFonts w:ascii="Arial" w:cs="Arial" w:eastAsia="Arial" w:hAnsi="Arial"/>
                <w:sz w:val="14"/>
                <w:szCs w:val="14"/>
                <w:b w:val="1"/>
                <w:bCs w:val="1"/>
                <w:color w:val="auto"/>
              </w:rPr>
              <w:t>Company’s TSR</w:t>
            </w:r>
          </w:p>
        </w:tc>
        <w:tc>
          <w:tcPr>
            <w:tcW w:w="2200" w:type="dxa"/>
            <w:vAlign w:val="bottom"/>
          </w:tcPr>
          <w:p>
            <w:pPr>
              <w:jc w:val="right"/>
              <w:spacing w:after="0"/>
              <w:rPr>
                <w:sz w:val="20"/>
                <w:szCs w:val="20"/>
                <w:color w:val="auto"/>
              </w:rPr>
            </w:pPr>
            <w:r>
              <w:rPr>
                <w:rFonts w:ascii="Arial" w:cs="Arial" w:eastAsia="Arial" w:hAnsi="Arial"/>
                <w:sz w:val="14"/>
                <w:szCs w:val="14"/>
                <w:b w:val="1"/>
                <w:bCs w:val="1"/>
                <w:color w:val="auto"/>
              </w:rPr>
              <w:t>Payout</w:t>
            </w:r>
          </w:p>
        </w:tc>
      </w:tr>
      <w:tr>
        <w:trPr>
          <w:trHeight w:val="220"/>
        </w:trPr>
        <w:tc>
          <w:tcPr>
            <w:tcW w:w="9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Percentile Rank</w:t>
            </w:r>
          </w:p>
        </w:tc>
        <w:tc>
          <w:tcPr>
            <w:tcW w:w="220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14"/>
                <w:szCs w:val="14"/>
                <w:b w:val="1"/>
                <w:bCs w:val="1"/>
                <w:color w:val="auto"/>
              </w:rPr>
              <w:t>Factor%</w:t>
            </w:r>
            <w:r>
              <w:rPr>
                <w:rFonts w:ascii="Arial" w:cs="Arial" w:eastAsia="Arial" w:hAnsi="Arial"/>
                <w:sz w:val="23"/>
                <w:szCs w:val="23"/>
                <w:b w:val="1"/>
                <w:bCs w:val="1"/>
                <w:color w:val="auto"/>
                <w:vertAlign w:val="superscript"/>
              </w:rPr>
              <w:t>(1)</w:t>
            </w:r>
          </w:p>
        </w:tc>
      </w:tr>
      <w:tr>
        <w:trPr>
          <w:trHeight w:val="280"/>
        </w:trPr>
        <w:tc>
          <w:tcPr>
            <w:tcW w:w="9040" w:type="dxa"/>
            <w:vAlign w:val="bottom"/>
            <w:tcBorders>
              <w:bottom w:val="single" w:sz="8" w:color="949599"/>
            </w:tcBorders>
            <w:gridSpan w:val="2"/>
          </w:tcPr>
          <w:p>
            <w:pPr>
              <w:ind w:left="80"/>
              <w:spacing w:after="0" w:line="280" w:lineRule="exact"/>
              <w:rPr>
                <w:sz w:val="20"/>
                <w:szCs w:val="20"/>
                <w:color w:val="auto"/>
              </w:rPr>
            </w:pPr>
            <w:r>
              <w:rPr>
                <w:rFonts w:ascii="Arial" w:cs="Arial" w:eastAsia="Arial" w:hAnsi="Arial"/>
                <w:sz w:val="16"/>
                <w:szCs w:val="16"/>
                <w:color w:val="auto"/>
              </w:rPr>
              <w:t>&gt;75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220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200</w:t>
            </w:r>
          </w:p>
        </w:tc>
      </w:tr>
      <w:tr>
        <w:trPr>
          <w:trHeight w:val="273"/>
        </w:trPr>
        <w:tc>
          <w:tcPr>
            <w:tcW w:w="9040" w:type="dxa"/>
            <w:vAlign w:val="bottom"/>
            <w:tcBorders>
              <w:bottom w:val="single" w:sz="8" w:color="949599"/>
            </w:tcBorders>
            <w:gridSpan w:val="2"/>
          </w:tcPr>
          <w:p>
            <w:pPr>
              <w:ind w:left="80"/>
              <w:spacing w:after="0" w:line="273" w:lineRule="exact"/>
              <w:rPr>
                <w:sz w:val="20"/>
                <w:szCs w:val="20"/>
                <w:color w:val="auto"/>
              </w:rPr>
            </w:pPr>
            <w:r>
              <w:rPr>
                <w:rFonts w:ascii="Arial" w:cs="Arial" w:eastAsia="Arial" w:hAnsi="Arial"/>
                <w:sz w:val="16"/>
                <w:szCs w:val="16"/>
                <w:color w:val="auto"/>
              </w:rPr>
              <w:t>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220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100</w:t>
            </w:r>
          </w:p>
        </w:tc>
      </w:tr>
      <w:tr>
        <w:trPr>
          <w:trHeight w:val="273"/>
        </w:trPr>
        <w:tc>
          <w:tcPr>
            <w:tcW w:w="9040" w:type="dxa"/>
            <w:vAlign w:val="bottom"/>
            <w:tcBorders>
              <w:bottom w:val="single" w:sz="8" w:color="949599"/>
            </w:tcBorders>
            <w:gridSpan w:val="2"/>
          </w:tcPr>
          <w:p>
            <w:pPr>
              <w:ind w:left="80"/>
              <w:spacing w:after="0" w:line="273" w:lineRule="exact"/>
              <w:rPr>
                <w:sz w:val="20"/>
                <w:szCs w:val="20"/>
                <w:color w:val="auto"/>
              </w:rPr>
            </w:pPr>
            <w:r>
              <w:rPr>
                <w:rFonts w:ascii="Arial" w:cs="Arial" w:eastAsia="Arial" w:hAnsi="Arial"/>
                <w:sz w:val="16"/>
                <w:szCs w:val="16"/>
                <w:color w:val="auto"/>
              </w:rPr>
              <w:t>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220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30</w:t>
            </w:r>
          </w:p>
        </w:tc>
      </w:tr>
      <w:tr>
        <w:trPr>
          <w:trHeight w:val="279"/>
        </w:trPr>
        <w:tc>
          <w:tcPr>
            <w:tcW w:w="9040" w:type="dxa"/>
            <w:vAlign w:val="bottom"/>
            <w:tcBorders>
              <w:bottom w:val="single" w:sz="8" w:color="auto"/>
            </w:tcBorders>
            <w:gridSpan w:val="2"/>
          </w:tcPr>
          <w:p>
            <w:pPr>
              <w:ind w:left="80"/>
              <w:spacing w:after="0" w:line="273" w:lineRule="exact"/>
              <w:rPr>
                <w:sz w:val="20"/>
                <w:szCs w:val="20"/>
                <w:color w:val="auto"/>
              </w:rPr>
            </w:pPr>
            <w:r>
              <w:rPr>
                <w:rFonts w:ascii="Arial" w:cs="Arial" w:eastAsia="Arial" w:hAnsi="Arial"/>
                <w:sz w:val="16"/>
                <w:szCs w:val="16"/>
                <w:color w:val="auto"/>
              </w:rPr>
              <w:t>&lt;30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r>
      <w:tr>
        <w:trPr>
          <w:trHeight w:val="228"/>
        </w:trPr>
        <w:tc>
          <w:tcPr>
            <w:tcW w:w="220" w:type="dxa"/>
            <w:vAlign w:val="bottom"/>
          </w:tcPr>
          <w:p>
            <w:pPr>
              <w:spacing w:after="0"/>
              <w:rPr>
                <w:sz w:val="20"/>
                <w:szCs w:val="20"/>
                <w:color w:val="auto"/>
              </w:rPr>
            </w:pPr>
            <w:r>
              <w:rPr>
                <w:rFonts w:ascii="Arial" w:cs="Arial" w:eastAsia="Arial" w:hAnsi="Arial"/>
                <w:sz w:val="12"/>
                <w:szCs w:val="12"/>
                <w:color w:val="auto"/>
              </w:rPr>
              <w:t>(1)</w:t>
            </w:r>
          </w:p>
        </w:tc>
        <w:tc>
          <w:tcPr>
            <w:tcW w:w="8820" w:type="dxa"/>
            <w:vAlign w:val="bottom"/>
          </w:tcPr>
          <w:p>
            <w:pPr>
              <w:ind w:left="80"/>
              <w:spacing w:after="0"/>
              <w:rPr>
                <w:sz w:val="20"/>
                <w:szCs w:val="20"/>
                <w:color w:val="auto"/>
              </w:rPr>
            </w:pPr>
            <w:r>
              <w:rPr>
                <w:rFonts w:ascii="Arial" w:cs="Arial" w:eastAsia="Arial" w:hAnsi="Arial"/>
                <w:sz w:val="14"/>
                <w:szCs w:val="14"/>
                <w:color w:val="auto"/>
              </w:rPr>
              <w:t>The Committee may increase or decrease the payout factor by up to 15 percentage points.</w:t>
            </w:r>
          </w:p>
        </w:tc>
        <w:tc>
          <w:tcPr>
            <w:tcW w:w="2200" w:type="dxa"/>
            <w:vAlign w:val="bottom"/>
          </w:tcPr>
          <w:p>
            <w:pPr>
              <w:spacing w:after="0"/>
              <w:rPr>
                <w:sz w:val="19"/>
                <w:szCs w:val="19"/>
                <w:color w:val="auto"/>
              </w:rPr>
            </w:pPr>
          </w:p>
        </w:tc>
      </w:tr>
      <w:tr>
        <w:trPr>
          <w:trHeight w:val="339"/>
        </w:trPr>
        <w:tc>
          <w:tcPr>
            <w:tcW w:w="9040" w:type="dxa"/>
            <w:vAlign w:val="bottom"/>
            <w:gridSpan w:val="2"/>
          </w:tcPr>
          <w:p>
            <w:pPr>
              <w:spacing w:after="0"/>
              <w:rPr>
                <w:sz w:val="20"/>
                <w:szCs w:val="20"/>
                <w:color w:val="auto"/>
              </w:rPr>
            </w:pPr>
            <w:r>
              <w:rPr>
                <w:rFonts w:ascii="Arial" w:cs="Arial" w:eastAsia="Arial" w:hAnsi="Arial"/>
                <w:sz w:val="16"/>
                <w:szCs w:val="16"/>
                <w:color w:val="auto"/>
              </w:rPr>
              <w:t>The target number of fiscal 2021 performance shares granted to each named executive officer was as follows:</w:t>
            </w:r>
          </w:p>
        </w:tc>
        <w:tc>
          <w:tcPr>
            <w:tcW w:w="2200" w:type="dxa"/>
            <w:vAlign w:val="bottom"/>
          </w:tcPr>
          <w:p>
            <w:pPr>
              <w:spacing w:after="0"/>
              <w:rPr>
                <w:sz w:val="24"/>
                <w:szCs w:val="24"/>
                <w:color w:val="auto"/>
              </w:rPr>
            </w:pPr>
          </w:p>
        </w:tc>
      </w:tr>
      <w:tr>
        <w:trPr>
          <w:trHeight w:val="325"/>
        </w:trPr>
        <w:tc>
          <w:tcPr>
            <w:tcW w:w="22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4"/>
                <w:szCs w:val="14"/>
                <w:b w:val="1"/>
                <w:bCs w:val="1"/>
                <w:color w:val="auto"/>
              </w:rPr>
              <w:t>Target</w:t>
            </w:r>
          </w:p>
        </w:tc>
      </w:tr>
      <w:tr>
        <w:trPr>
          <w:trHeight w:val="160"/>
        </w:trPr>
        <w:tc>
          <w:tcPr>
            <w:tcW w:w="2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220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Performance</w:t>
            </w:r>
          </w:p>
        </w:tc>
      </w:tr>
      <w:tr>
        <w:trPr>
          <w:trHeight w:val="206"/>
        </w:trPr>
        <w:tc>
          <w:tcPr>
            <w:tcW w:w="9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Officer</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r>
      <w:tr>
        <w:trPr>
          <w:trHeight w:val="233"/>
        </w:trPr>
        <w:tc>
          <w:tcPr>
            <w:tcW w:w="9040" w:type="dxa"/>
            <w:vAlign w:val="bottom"/>
            <w:tcBorders>
              <w:bottom w:val="single" w:sz="8" w:color="949599"/>
            </w:tcBorders>
            <w:gridSpan w:val="2"/>
          </w:tcPr>
          <w:p>
            <w:pPr>
              <w:ind w:left="80"/>
              <w:spacing w:after="0"/>
              <w:rPr>
                <w:sz w:val="20"/>
                <w:szCs w:val="20"/>
                <w:color w:val="auto"/>
              </w:rPr>
            </w:pPr>
            <w:r>
              <w:rPr>
                <w:rFonts w:ascii="Arial" w:cs="Arial" w:eastAsia="Arial" w:hAnsi="Arial"/>
                <w:sz w:val="16"/>
                <w:szCs w:val="16"/>
                <w:b w:val="1"/>
                <w:bCs w:val="1"/>
                <w:color w:val="009A4B"/>
              </w:rPr>
              <w:t>Seifi Ghasemi</w:t>
            </w:r>
          </w:p>
        </w:tc>
        <w:tc>
          <w:tcPr>
            <w:tcW w:w="220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24,117</w:t>
            </w:r>
          </w:p>
        </w:tc>
      </w:tr>
      <w:tr>
        <w:trPr>
          <w:trHeight w:val="280"/>
        </w:trPr>
        <w:tc>
          <w:tcPr>
            <w:tcW w:w="9040" w:type="dxa"/>
            <w:vAlign w:val="bottom"/>
            <w:tcBorders>
              <w:bottom w:val="single" w:sz="8" w:color="949599"/>
            </w:tcBorders>
            <w:gridSpan w:val="2"/>
          </w:tcPr>
          <w:p>
            <w:pPr>
              <w:ind w:left="80"/>
              <w:spacing w:after="0" w:line="280" w:lineRule="exact"/>
              <w:rPr>
                <w:sz w:val="20"/>
                <w:szCs w:val="20"/>
                <w:color w:val="auto"/>
              </w:rPr>
            </w:pPr>
            <w:r>
              <w:rPr>
                <w:rFonts w:ascii="Arial" w:cs="Arial" w:eastAsia="Arial" w:hAnsi="Arial"/>
                <w:sz w:val="16"/>
                <w:szCs w:val="16"/>
                <w:b w:val="1"/>
                <w:bCs w:val="1"/>
                <w:color w:val="009A4B"/>
              </w:rPr>
              <w:t>Melissa N. Schaeffer</w:t>
            </w:r>
            <w:r>
              <w:rPr>
                <w:rFonts w:ascii="Arial" w:cs="Arial" w:eastAsia="Arial" w:hAnsi="Arial"/>
                <w:sz w:val="26"/>
                <w:szCs w:val="26"/>
                <w:b w:val="1"/>
                <w:bCs w:val="1"/>
                <w:color w:val="009A4B"/>
                <w:vertAlign w:val="superscript"/>
              </w:rPr>
              <w:t>(1)</w:t>
            </w:r>
          </w:p>
        </w:tc>
        <w:tc>
          <w:tcPr>
            <w:tcW w:w="220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724</w:t>
            </w:r>
          </w:p>
        </w:tc>
      </w:tr>
      <w:tr>
        <w:trPr>
          <w:trHeight w:val="226"/>
        </w:trPr>
        <w:tc>
          <w:tcPr>
            <w:tcW w:w="9040" w:type="dxa"/>
            <w:vAlign w:val="bottom"/>
            <w:tcBorders>
              <w:bottom w:val="single" w:sz="8" w:color="949599"/>
            </w:tcBorders>
            <w:gridSpan w:val="2"/>
          </w:tcPr>
          <w:p>
            <w:pPr>
              <w:ind w:left="80"/>
              <w:spacing w:after="0"/>
              <w:rPr>
                <w:sz w:val="20"/>
                <w:szCs w:val="20"/>
                <w:color w:val="auto"/>
              </w:rPr>
            </w:pPr>
            <w:r>
              <w:rPr>
                <w:rFonts w:ascii="Arial" w:cs="Arial" w:eastAsia="Arial" w:hAnsi="Arial"/>
                <w:sz w:val="16"/>
                <w:szCs w:val="16"/>
                <w:b w:val="1"/>
                <w:bCs w:val="1"/>
                <w:color w:val="009A4B"/>
              </w:rPr>
              <w:t>M. Scott Crocco</w:t>
            </w:r>
          </w:p>
        </w:tc>
        <w:tc>
          <w:tcPr>
            <w:tcW w:w="220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3,727</w:t>
            </w:r>
          </w:p>
        </w:tc>
      </w:tr>
      <w:tr>
        <w:trPr>
          <w:trHeight w:val="233"/>
        </w:trPr>
        <w:tc>
          <w:tcPr>
            <w:tcW w:w="9040" w:type="dxa"/>
            <w:vAlign w:val="bottom"/>
            <w:tcBorders>
              <w:bottom w:val="single" w:sz="8" w:color="949599"/>
            </w:tcBorders>
            <w:gridSpan w:val="2"/>
          </w:tcPr>
          <w:p>
            <w:pPr>
              <w:ind w:left="80"/>
              <w:spacing w:after="0"/>
              <w:rPr>
                <w:sz w:val="20"/>
                <w:szCs w:val="20"/>
                <w:color w:val="auto"/>
              </w:rPr>
            </w:pPr>
            <w:r>
              <w:rPr>
                <w:rFonts w:ascii="Arial" w:cs="Arial" w:eastAsia="Arial" w:hAnsi="Arial"/>
                <w:sz w:val="16"/>
                <w:szCs w:val="16"/>
                <w:b w:val="1"/>
                <w:bCs w:val="1"/>
                <w:color w:val="009A4B"/>
              </w:rPr>
              <w:t>Sean D. Major</w:t>
            </w:r>
          </w:p>
        </w:tc>
        <w:tc>
          <w:tcPr>
            <w:tcW w:w="220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3,069</w:t>
            </w:r>
          </w:p>
        </w:tc>
      </w:tr>
      <w:tr>
        <w:trPr>
          <w:trHeight w:val="246"/>
        </w:trPr>
        <w:tc>
          <w:tcPr>
            <w:tcW w:w="904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009A4B"/>
              </w:rPr>
              <w:t>Samir J. Serhan</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4,385</w:t>
            </w:r>
          </w:p>
        </w:tc>
      </w:tr>
      <w:tr>
        <w:trPr>
          <w:trHeight w:val="228"/>
        </w:trPr>
        <w:tc>
          <w:tcPr>
            <w:tcW w:w="220" w:type="dxa"/>
            <w:vAlign w:val="bottom"/>
          </w:tcPr>
          <w:p>
            <w:pPr>
              <w:spacing w:after="0"/>
              <w:rPr>
                <w:sz w:val="20"/>
                <w:szCs w:val="20"/>
                <w:color w:val="auto"/>
              </w:rPr>
            </w:pPr>
            <w:r>
              <w:rPr>
                <w:rFonts w:ascii="Arial" w:cs="Arial" w:eastAsia="Arial" w:hAnsi="Arial"/>
                <w:sz w:val="12"/>
                <w:szCs w:val="12"/>
                <w:color w:val="auto"/>
              </w:rPr>
              <w:t>(1)</w:t>
            </w:r>
          </w:p>
        </w:tc>
        <w:tc>
          <w:tcPr>
            <w:tcW w:w="8820" w:type="dxa"/>
            <w:vAlign w:val="bottom"/>
          </w:tcPr>
          <w:p>
            <w:pPr>
              <w:ind w:left="80"/>
              <w:spacing w:after="0"/>
              <w:rPr>
                <w:sz w:val="20"/>
                <w:szCs w:val="20"/>
                <w:color w:val="auto"/>
              </w:rPr>
            </w:pPr>
            <w:r>
              <w:rPr>
                <w:rFonts w:ascii="Arial" w:cs="Arial" w:eastAsia="Arial" w:hAnsi="Arial"/>
                <w:sz w:val="14"/>
                <w:szCs w:val="14"/>
                <w:color w:val="auto"/>
              </w:rPr>
              <w:t>Ms. Schaeffer’s long term incentive value was determined in early fiscal 2021, prior to her promotion to CFO.</w:t>
            </w:r>
          </w:p>
        </w:tc>
        <w:tc>
          <w:tcPr>
            <w:tcW w:w="2200" w:type="dxa"/>
            <w:vAlign w:val="bottom"/>
          </w:tcPr>
          <w:p>
            <w:pPr>
              <w:spacing w:after="0"/>
              <w:rPr>
                <w:sz w:val="19"/>
                <w:szCs w:val="19"/>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009A4B"/>
        </w:rPr>
        <w:t>FISCAL 2019-2021 PERFORMANCE SHARES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-57150</wp:posOffset>
            </wp:positionV>
            <wp:extent cx="4260215"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4260215" cy="8255"/>
                    </a:xfrm>
                    <a:prstGeom prst="rect">
                      <a:avLst/>
                    </a:prstGeom>
                    <a:noFill/>
                  </pic:spPr>
                </pic:pic>
              </a:graphicData>
            </a:graphic>
          </wp:anchor>
        </w:drawing>
      </w:r>
    </w:p>
    <w:p>
      <w:pPr>
        <w:spacing w:after="0" w:line="157"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color w:val="auto"/>
        </w:rPr>
        <w:t>The Committee determined final payout levels for performance share awards granted in fiscal 2019 with a performance cycle ending at the end of fiscal 2021. For the three-year performance period, our TSR was 67% and the TSR percentile rank was 62%. This resulted in a payout factor of 146.2% for the fiscal 2019-2021 performance cycle. The Committee exercised its discretion to increase the payout factor to 161%, reflecting the full 15 percentage points of positive discretion, to recognize shareholder value creation through execution of our growth strategy, winning significant new growth projects worldwide and demonstrating resilience and resolve in pursuit of our higher purpose during well-known global challenges.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4720" w:type="dxa"/>
            <w:vAlign w:val="bottom"/>
          </w:tcPr>
          <w:p>
            <w:pPr>
              <w:jc w:val="right"/>
              <w:ind w:right="183"/>
              <w:spacing w:after="0"/>
              <w:rPr>
                <w:sz w:val="20"/>
                <w:szCs w:val="20"/>
                <w:color w:val="auto"/>
              </w:rPr>
            </w:pPr>
            <w:r>
              <w:rPr>
                <w:rFonts w:ascii="Arial" w:cs="Arial" w:eastAsia="Arial" w:hAnsi="Arial"/>
                <w:sz w:val="14"/>
                <w:szCs w:val="14"/>
                <w:b w:val="1"/>
                <w:bCs w:val="1"/>
                <w:color w:val="auto"/>
              </w:rPr>
              <w:t>Target</w:t>
            </w: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5220" w:type="dxa"/>
            <w:vAlign w:val="bottom"/>
          </w:tcPr>
          <w:p>
            <w:pPr>
              <w:spacing w:after="0"/>
              <w:rPr>
                <w:sz w:val="13"/>
                <w:szCs w:val="13"/>
                <w:color w:val="auto"/>
              </w:rPr>
            </w:pPr>
          </w:p>
        </w:tc>
        <w:tc>
          <w:tcPr>
            <w:tcW w:w="4720" w:type="dxa"/>
            <w:vAlign w:val="bottom"/>
          </w:tcPr>
          <w:p>
            <w:pPr>
              <w:jc w:val="right"/>
              <w:ind w:right="183"/>
              <w:spacing w:after="0" w:line="160" w:lineRule="exact"/>
              <w:rPr>
                <w:sz w:val="20"/>
                <w:szCs w:val="20"/>
                <w:color w:val="auto"/>
              </w:rPr>
            </w:pPr>
            <w:r>
              <w:rPr>
                <w:rFonts w:ascii="Arial" w:cs="Arial" w:eastAsia="Arial" w:hAnsi="Arial"/>
                <w:sz w:val="14"/>
                <w:szCs w:val="14"/>
                <w:b w:val="1"/>
                <w:bCs w:val="1"/>
                <w:color w:val="auto"/>
              </w:rPr>
              <w:t>Performance</w:t>
            </w:r>
          </w:p>
        </w:tc>
        <w:tc>
          <w:tcPr>
            <w:tcW w:w="130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Performance</w:t>
            </w:r>
          </w:p>
        </w:tc>
        <w:tc>
          <w:tcPr>
            <w:tcW w:w="20" w:type="dxa"/>
            <w:vAlign w:val="bottom"/>
          </w:tcPr>
          <w:p>
            <w:pPr>
              <w:spacing w:after="0"/>
              <w:rPr>
                <w:sz w:val="13"/>
                <w:szCs w:val="13"/>
                <w:color w:val="auto"/>
              </w:rPr>
            </w:pPr>
          </w:p>
        </w:tc>
      </w:tr>
      <w:tr>
        <w:trPr>
          <w:trHeight w:val="206"/>
        </w:trPr>
        <w:tc>
          <w:tcPr>
            <w:tcW w:w="52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Officer</w:t>
            </w:r>
          </w:p>
        </w:tc>
        <w:tc>
          <w:tcPr>
            <w:tcW w:w="472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Shares Grant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 Earned</w:t>
            </w:r>
          </w:p>
        </w:tc>
        <w:tc>
          <w:tcPr>
            <w:tcW w:w="20" w:type="dxa"/>
            <w:vAlign w:val="bottom"/>
          </w:tcPr>
          <w:p>
            <w:pPr>
              <w:spacing w:after="0"/>
              <w:rPr>
                <w:sz w:val="17"/>
                <w:szCs w:val="17"/>
                <w:color w:val="auto"/>
              </w:rPr>
            </w:pPr>
          </w:p>
        </w:tc>
      </w:tr>
      <w:tr>
        <w:trPr>
          <w:trHeight w:val="233"/>
        </w:trPr>
        <w:tc>
          <w:tcPr>
            <w:tcW w:w="5220" w:type="dxa"/>
            <w:vAlign w:val="bottom"/>
            <w:tcBorders>
              <w:bottom w:val="single" w:sz="8" w:color="949599"/>
            </w:tcBorders>
          </w:tcPr>
          <w:p>
            <w:pPr>
              <w:ind w:left="80"/>
              <w:spacing w:after="0"/>
              <w:rPr>
                <w:sz w:val="20"/>
                <w:szCs w:val="20"/>
                <w:color w:val="auto"/>
              </w:rPr>
            </w:pPr>
            <w:r>
              <w:rPr>
                <w:rFonts w:ascii="Arial" w:cs="Arial" w:eastAsia="Arial" w:hAnsi="Arial"/>
                <w:sz w:val="16"/>
                <w:szCs w:val="16"/>
                <w:b w:val="1"/>
                <w:bCs w:val="1"/>
                <w:color w:val="009A4B"/>
              </w:rPr>
              <w:t>Seifi Ghasemi</w:t>
            </w:r>
          </w:p>
        </w:tc>
        <w:tc>
          <w:tcPr>
            <w:tcW w:w="4720" w:type="dxa"/>
            <w:vAlign w:val="bottom"/>
            <w:tcBorders>
              <w:bottom w:val="single" w:sz="8" w:color="949599"/>
            </w:tcBorders>
          </w:tcPr>
          <w:p>
            <w:pPr>
              <w:jc w:val="right"/>
              <w:ind w:right="183"/>
              <w:spacing w:after="0"/>
              <w:rPr>
                <w:sz w:val="20"/>
                <w:szCs w:val="20"/>
                <w:color w:val="auto"/>
              </w:rPr>
            </w:pPr>
            <w:r>
              <w:rPr>
                <w:rFonts w:ascii="Arial" w:cs="Arial" w:eastAsia="Arial" w:hAnsi="Arial"/>
                <w:sz w:val="16"/>
                <w:szCs w:val="16"/>
                <w:color w:val="auto"/>
              </w:rPr>
              <w:t>37,697</w:t>
            </w:r>
          </w:p>
        </w:tc>
        <w:tc>
          <w:tcPr>
            <w:tcW w:w="130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60,692</w:t>
            </w:r>
          </w:p>
        </w:tc>
        <w:tc>
          <w:tcPr>
            <w:tcW w:w="20" w:type="dxa"/>
            <w:vAlign w:val="bottom"/>
          </w:tcPr>
          <w:p>
            <w:pPr>
              <w:spacing w:after="0"/>
              <w:rPr>
                <w:sz w:val="20"/>
                <w:szCs w:val="20"/>
                <w:color w:val="auto"/>
              </w:rPr>
            </w:pPr>
          </w:p>
        </w:tc>
      </w:tr>
      <w:tr>
        <w:trPr>
          <w:trHeight w:val="233"/>
        </w:trPr>
        <w:tc>
          <w:tcPr>
            <w:tcW w:w="5220" w:type="dxa"/>
            <w:vAlign w:val="bottom"/>
            <w:tcBorders>
              <w:bottom w:val="single" w:sz="8" w:color="949599"/>
            </w:tcBorders>
          </w:tcPr>
          <w:p>
            <w:pPr>
              <w:ind w:left="80"/>
              <w:spacing w:after="0"/>
              <w:rPr>
                <w:sz w:val="20"/>
                <w:szCs w:val="20"/>
                <w:color w:val="auto"/>
              </w:rPr>
            </w:pPr>
            <w:r>
              <w:rPr>
                <w:rFonts w:ascii="Arial" w:cs="Arial" w:eastAsia="Arial" w:hAnsi="Arial"/>
                <w:sz w:val="16"/>
                <w:szCs w:val="16"/>
                <w:b w:val="1"/>
                <w:bCs w:val="1"/>
                <w:color w:val="009A4B"/>
              </w:rPr>
              <w:t>Melissa N. Schaeffer</w:t>
            </w:r>
          </w:p>
        </w:tc>
        <w:tc>
          <w:tcPr>
            <w:tcW w:w="4720" w:type="dxa"/>
            <w:vAlign w:val="bottom"/>
            <w:tcBorders>
              <w:bottom w:val="single" w:sz="8" w:color="949599"/>
            </w:tcBorders>
          </w:tcPr>
          <w:p>
            <w:pPr>
              <w:jc w:val="right"/>
              <w:ind w:right="183"/>
              <w:spacing w:after="0"/>
              <w:rPr>
                <w:sz w:val="20"/>
                <w:szCs w:val="20"/>
                <w:color w:val="auto"/>
              </w:rPr>
            </w:pPr>
            <w:r>
              <w:rPr>
                <w:rFonts w:ascii="Arial" w:cs="Arial" w:eastAsia="Arial" w:hAnsi="Arial"/>
                <w:sz w:val="16"/>
                <w:szCs w:val="16"/>
                <w:color w:val="auto"/>
              </w:rPr>
              <w:t>453</w:t>
            </w:r>
          </w:p>
        </w:tc>
        <w:tc>
          <w:tcPr>
            <w:tcW w:w="130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729</w:t>
            </w:r>
          </w:p>
        </w:tc>
        <w:tc>
          <w:tcPr>
            <w:tcW w:w="20" w:type="dxa"/>
            <w:vAlign w:val="bottom"/>
          </w:tcPr>
          <w:p>
            <w:pPr>
              <w:spacing w:after="0"/>
              <w:rPr>
                <w:sz w:val="20"/>
                <w:szCs w:val="20"/>
                <w:color w:val="auto"/>
              </w:rPr>
            </w:pPr>
          </w:p>
        </w:tc>
      </w:tr>
      <w:tr>
        <w:trPr>
          <w:trHeight w:val="233"/>
        </w:trPr>
        <w:tc>
          <w:tcPr>
            <w:tcW w:w="5220" w:type="dxa"/>
            <w:vAlign w:val="bottom"/>
            <w:tcBorders>
              <w:bottom w:val="single" w:sz="8" w:color="949599"/>
            </w:tcBorders>
          </w:tcPr>
          <w:p>
            <w:pPr>
              <w:ind w:left="80"/>
              <w:spacing w:after="0"/>
              <w:rPr>
                <w:sz w:val="20"/>
                <w:szCs w:val="20"/>
                <w:color w:val="auto"/>
              </w:rPr>
            </w:pPr>
            <w:r>
              <w:rPr>
                <w:rFonts w:ascii="Arial" w:cs="Arial" w:eastAsia="Arial" w:hAnsi="Arial"/>
                <w:sz w:val="16"/>
                <w:szCs w:val="16"/>
                <w:b w:val="1"/>
                <w:bCs w:val="1"/>
                <w:color w:val="009A4B"/>
              </w:rPr>
              <w:t>M. Scott Crocco</w:t>
            </w:r>
          </w:p>
        </w:tc>
        <w:tc>
          <w:tcPr>
            <w:tcW w:w="4720" w:type="dxa"/>
            <w:vAlign w:val="bottom"/>
            <w:tcBorders>
              <w:bottom w:val="single" w:sz="8" w:color="949599"/>
            </w:tcBorders>
          </w:tcPr>
          <w:p>
            <w:pPr>
              <w:jc w:val="right"/>
              <w:ind w:right="183"/>
              <w:spacing w:after="0"/>
              <w:rPr>
                <w:sz w:val="20"/>
                <w:szCs w:val="20"/>
                <w:color w:val="auto"/>
              </w:rPr>
            </w:pPr>
            <w:r>
              <w:rPr>
                <w:rFonts w:ascii="Arial" w:cs="Arial" w:eastAsia="Arial" w:hAnsi="Arial"/>
                <w:sz w:val="16"/>
                <w:szCs w:val="16"/>
                <w:color w:val="auto"/>
              </w:rPr>
              <w:t>6,408</w:t>
            </w:r>
          </w:p>
        </w:tc>
        <w:tc>
          <w:tcPr>
            <w:tcW w:w="130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10,317</w:t>
            </w:r>
          </w:p>
        </w:tc>
        <w:tc>
          <w:tcPr>
            <w:tcW w:w="20" w:type="dxa"/>
            <w:vAlign w:val="bottom"/>
          </w:tcPr>
          <w:p>
            <w:pPr>
              <w:spacing w:after="0"/>
              <w:rPr>
                <w:sz w:val="20"/>
                <w:szCs w:val="20"/>
                <w:color w:val="auto"/>
              </w:rPr>
            </w:pPr>
          </w:p>
        </w:tc>
      </w:tr>
      <w:tr>
        <w:trPr>
          <w:trHeight w:val="233"/>
        </w:trPr>
        <w:tc>
          <w:tcPr>
            <w:tcW w:w="5220" w:type="dxa"/>
            <w:vAlign w:val="bottom"/>
            <w:tcBorders>
              <w:bottom w:val="single" w:sz="8" w:color="949599"/>
            </w:tcBorders>
          </w:tcPr>
          <w:p>
            <w:pPr>
              <w:ind w:left="80"/>
              <w:spacing w:after="0"/>
              <w:rPr>
                <w:sz w:val="20"/>
                <w:szCs w:val="20"/>
                <w:color w:val="auto"/>
              </w:rPr>
            </w:pPr>
            <w:r>
              <w:rPr>
                <w:rFonts w:ascii="Arial" w:cs="Arial" w:eastAsia="Arial" w:hAnsi="Arial"/>
                <w:sz w:val="16"/>
                <w:szCs w:val="16"/>
                <w:b w:val="1"/>
                <w:bCs w:val="1"/>
                <w:color w:val="009A4B"/>
              </w:rPr>
              <w:t>Sean D. Major</w:t>
            </w:r>
          </w:p>
        </w:tc>
        <w:tc>
          <w:tcPr>
            <w:tcW w:w="4720" w:type="dxa"/>
            <w:vAlign w:val="bottom"/>
            <w:tcBorders>
              <w:bottom w:val="single" w:sz="8" w:color="949599"/>
            </w:tcBorders>
          </w:tcPr>
          <w:p>
            <w:pPr>
              <w:jc w:val="right"/>
              <w:ind w:right="183"/>
              <w:spacing w:after="0"/>
              <w:rPr>
                <w:sz w:val="20"/>
                <w:szCs w:val="20"/>
                <w:color w:val="auto"/>
              </w:rPr>
            </w:pPr>
            <w:r>
              <w:rPr>
                <w:rFonts w:ascii="Arial" w:cs="Arial" w:eastAsia="Arial" w:hAnsi="Arial"/>
                <w:sz w:val="16"/>
                <w:szCs w:val="16"/>
                <w:color w:val="auto"/>
              </w:rPr>
              <w:t>3,769</w:t>
            </w:r>
          </w:p>
        </w:tc>
        <w:tc>
          <w:tcPr>
            <w:tcW w:w="130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6,068</w:t>
            </w:r>
          </w:p>
        </w:tc>
        <w:tc>
          <w:tcPr>
            <w:tcW w:w="20" w:type="dxa"/>
            <w:vAlign w:val="bottom"/>
          </w:tcPr>
          <w:p>
            <w:pPr>
              <w:spacing w:after="0"/>
              <w:rPr>
                <w:sz w:val="20"/>
                <w:szCs w:val="20"/>
                <w:color w:val="auto"/>
              </w:rPr>
            </w:pPr>
          </w:p>
        </w:tc>
      </w:tr>
      <w:tr>
        <w:trPr>
          <w:trHeight w:val="246"/>
        </w:trPr>
        <w:tc>
          <w:tcPr>
            <w:tcW w:w="52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009A4B"/>
              </w:rPr>
              <w:t>Samir J. Serhan</w:t>
            </w:r>
          </w:p>
        </w:tc>
        <w:tc>
          <w:tcPr>
            <w:tcW w:w="472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color w:val="auto"/>
              </w:rPr>
              <w:t>6,408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10,317</w:t>
            </w:r>
          </w:p>
        </w:tc>
        <w:tc>
          <w:tcPr>
            <w:tcW w:w="20" w:type="dxa"/>
            <w:vAlign w:val="bottom"/>
          </w:tcPr>
          <w:p>
            <w:pPr>
              <w:spacing w:after="0"/>
              <w:rPr>
                <w:sz w:val="21"/>
                <w:szCs w:val="21"/>
                <w:color w:val="auto"/>
              </w:rPr>
            </w:pPr>
          </w:p>
        </w:tc>
      </w:tr>
      <w:tr>
        <w:trPr>
          <w:trHeight w:val="375"/>
        </w:trPr>
        <w:tc>
          <w:tcPr>
            <w:tcW w:w="5220" w:type="dxa"/>
            <w:vAlign w:val="bottom"/>
          </w:tcPr>
          <w:p>
            <w:pPr>
              <w:spacing w:after="0"/>
              <w:rPr>
                <w:sz w:val="20"/>
                <w:szCs w:val="20"/>
                <w:color w:val="auto"/>
              </w:rPr>
            </w:pPr>
            <w:r>
              <w:rPr>
                <w:rFonts w:ascii="Arial" w:cs="Arial" w:eastAsia="Arial" w:hAnsi="Arial"/>
                <w:sz w:val="14"/>
                <w:szCs w:val="14"/>
                <w:b w:val="1"/>
                <w:bCs w:val="1"/>
                <w:color w:val="auto"/>
              </w:rPr>
              <w:t>40</w:t>
            </w:r>
          </w:p>
        </w:tc>
        <w:tc>
          <w:tcPr>
            <w:tcW w:w="4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5220" w:type="dxa"/>
            <w:vAlign w:val="bottom"/>
            <w:tcBorders>
              <w:bottom w:val="single" w:sz="8" w:color="808080"/>
            </w:tcBorders>
          </w:tcPr>
          <w:p>
            <w:pPr>
              <w:spacing w:after="0"/>
              <w:rPr>
                <w:sz w:val="20"/>
                <w:szCs w:val="20"/>
                <w:color w:val="auto"/>
              </w:rPr>
            </w:pPr>
          </w:p>
        </w:tc>
        <w:tc>
          <w:tcPr>
            <w:tcW w:w="4720" w:type="dxa"/>
            <w:vAlign w:val="bottom"/>
            <w:tcBorders>
              <w:bottom w:val="single" w:sz="8" w:color="808080"/>
            </w:tcBorders>
          </w:tcPr>
          <w:p>
            <w:pPr>
              <w:spacing w:after="0"/>
              <w:rPr>
                <w:sz w:val="20"/>
                <w:szCs w:val="20"/>
                <w:color w:val="auto"/>
              </w:rPr>
            </w:pPr>
          </w:p>
        </w:tc>
        <w:tc>
          <w:tcPr>
            <w:tcW w:w="130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-13970</wp:posOffset>
            </wp:positionV>
            <wp:extent cx="12700"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232410</wp:posOffset>
            </wp:positionH>
            <wp:positionV relativeFrom="paragraph">
              <wp:posOffset>-306070</wp:posOffset>
            </wp:positionV>
            <wp:extent cx="845185" cy="20256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45185" cy="20256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3"/>
          <w:szCs w:val="23"/>
          <w:color w:val="auto"/>
        </w:rPr>
        <w:t>Restricted Stock Units</w:t>
      </w:r>
    </w:p>
    <w:p>
      <w:pPr>
        <w:spacing w:after="0" w:line="226"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Each RSU entitles the recipient to receive one share of Company stock upon payout, generally at the end of a four-year vesting period. RSUs are conditioned upon continued employment during the vesting period but are subject to special vesting rules for terminations due to death, disability or retirement or terminations covered by the Executive Separation Program described on pages 55-56. Upon vesting, RSUs also entitle the holder to receive dividend equivalents equal to the amount of dividends paid on a share of Company stock during the vesting period. The vesting conditions provide an incentive for retention, and the value of this compensation element increases or decreases in direct proportion to our TSR. The value of RSUs granted to the executive officers in fiscal 2021 is reflected in the Summary Compensation Table and the Grants of Plan-Based Awards table. The target level for fiscal 2021 grants (40% of the total intended long-term incentive value for each executive officer) was converted to a number of deferred stock units based on the average NYSE closing stock price for the 10 trading days preceding the grant date.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In fiscal 2021, we granted RSUs to our named executive officers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1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Officer</w:t>
            </w:r>
          </w:p>
        </w:tc>
        <w:tc>
          <w:tcPr>
            <w:tcW w:w="5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RSUs</w:t>
            </w:r>
          </w:p>
        </w:tc>
      </w:tr>
      <w:tr>
        <w:trPr>
          <w:trHeight w:val="233"/>
        </w:trPr>
        <w:tc>
          <w:tcPr>
            <w:tcW w:w="6160" w:type="dxa"/>
            <w:vAlign w:val="bottom"/>
            <w:tcBorders>
              <w:bottom w:val="single" w:sz="8" w:color="949599"/>
            </w:tcBorders>
          </w:tcPr>
          <w:p>
            <w:pPr>
              <w:ind w:left="80"/>
              <w:spacing w:after="0"/>
              <w:rPr>
                <w:sz w:val="20"/>
                <w:szCs w:val="20"/>
                <w:color w:val="auto"/>
              </w:rPr>
            </w:pPr>
            <w:r>
              <w:rPr>
                <w:rFonts w:ascii="Arial" w:cs="Arial" w:eastAsia="Arial" w:hAnsi="Arial"/>
                <w:sz w:val="16"/>
                <w:szCs w:val="16"/>
                <w:b w:val="1"/>
                <w:bCs w:val="1"/>
                <w:color w:val="009A4B"/>
              </w:rPr>
              <w:t>Seifi Ghasemi</w:t>
            </w:r>
          </w:p>
        </w:tc>
        <w:tc>
          <w:tcPr>
            <w:tcW w:w="508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16,078</w:t>
            </w:r>
          </w:p>
        </w:tc>
      </w:tr>
      <w:tr>
        <w:trPr>
          <w:trHeight w:val="233"/>
        </w:trPr>
        <w:tc>
          <w:tcPr>
            <w:tcW w:w="6160" w:type="dxa"/>
            <w:vAlign w:val="bottom"/>
            <w:tcBorders>
              <w:bottom w:val="single" w:sz="8" w:color="949599"/>
            </w:tcBorders>
          </w:tcPr>
          <w:p>
            <w:pPr>
              <w:ind w:left="80"/>
              <w:spacing w:after="0"/>
              <w:rPr>
                <w:sz w:val="20"/>
                <w:szCs w:val="20"/>
                <w:color w:val="auto"/>
              </w:rPr>
            </w:pPr>
            <w:r>
              <w:rPr>
                <w:rFonts w:ascii="Arial" w:cs="Arial" w:eastAsia="Arial" w:hAnsi="Arial"/>
                <w:sz w:val="16"/>
                <w:szCs w:val="16"/>
                <w:b w:val="1"/>
                <w:bCs w:val="1"/>
                <w:color w:val="009A4B"/>
              </w:rPr>
              <w:t>Melissa N. Schaeffer</w:t>
            </w:r>
          </w:p>
        </w:tc>
        <w:tc>
          <w:tcPr>
            <w:tcW w:w="508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483</w:t>
            </w:r>
          </w:p>
        </w:tc>
      </w:tr>
      <w:tr>
        <w:trPr>
          <w:trHeight w:val="233"/>
        </w:trPr>
        <w:tc>
          <w:tcPr>
            <w:tcW w:w="6160" w:type="dxa"/>
            <w:vAlign w:val="bottom"/>
            <w:tcBorders>
              <w:bottom w:val="single" w:sz="8" w:color="949599"/>
            </w:tcBorders>
          </w:tcPr>
          <w:p>
            <w:pPr>
              <w:ind w:left="80"/>
              <w:spacing w:after="0"/>
              <w:rPr>
                <w:sz w:val="20"/>
                <w:szCs w:val="20"/>
                <w:color w:val="auto"/>
              </w:rPr>
            </w:pPr>
            <w:r>
              <w:rPr>
                <w:rFonts w:ascii="Arial" w:cs="Arial" w:eastAsia="Arial" w:hAnsi="Arial"/>
                <w:sz w:val="16"/>
                <w:szCs w:val="16"/>
                <w:b w:val="1"/>
                <w:bCs w:val="1"/>
                <w:color w:val="009A4B"/>
              </w:rPr>
              <w:t>M. Scott Crocco</w:t>
            </w:r>
          </w:p>
        </w:tc>
        <w:tc>
          <w:tcPr>
            <w:tcW w:w="508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2,484</w:t>
            </w:r>
          </w:p>
        </w:tc>
      </w:tr>
      <w:tr>
        <w:trPr>
          <w:trHeight w:val="233"/>
        </w:trPr>
        <w:tc>
          <w:tcPr>
            <w:tcW w:w="6160" w:type="dxa"/>
            <w:vAlign w:val="bottom"/>
            <w:tcBorders>
              <w:bottom w:val="single" w:sz="8" w:color="949599"/>
            </w:tcBorders>
          </w:tcPr>
          <w:p>
            <w:pPr>
              <w:ind w:left="80"/>
              <w:spacing w:after="0"/>
              <w:rPr>
                <w:sz w:val="20"/>
                <w:szCs w:val="20"/>
                <w:color w:val="auto"/>
              </w:rPr>
            </w:pPr>
            <w:r>
              <w:rPr>
                <w:rFonts w:ascii="Arial" w:cs="Arial" w:eastAsia="Arial" w:hAnsi="Arial"/>
                <w:sz w:val="16"/>
                <w:szCs w:val="16"/>
                <w:b w:val="1"/>
                <w:bCs w:val="1"/>
                <w:color w:val="009A4B"/>
              </w:rPr>
              <w:t>Sean D. Major</w:t>
            </w:r>
          </w:p>
        </w:tc>
        <w:tc>
          <w:tcPr>
            <w:tcW w:w="508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2,046</w:t>
            </w:r>
          </w:p>
        </w:tc>
      </w:tr>
      <w:tr>
        <w:trPr>
          <w:trHeight w:val="246"/>
        </w:trPr>
        <w:tc>
          <w:tcPr>
            <w:tcW w:w="61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009A4B"/>
              </w:rPr>
              <w:t>Samir J. Serhan</w:t>
            </w:r>
          </w:p>
        </w:tc>
        <w:tc>
          <w:tcPr>
            <w:tcW w:w="5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2,923</w:t>
            </w:r>
          </w:p>
        </w:tc>
      </w:tr>
    </w:tbl>
    <w:p>
      <w:pPr>
        <w:spacing w:after="0" w:line="180" w:lineRule="exact"/>
        <w:rPr>
          <w:sz w:val="20"/>
          <w:szCs w:val="20"/>
          <w:color w:val="auto"/>
        </w:rPr>
      </w:pPr>
    </w:p>
    <w:p>
      <w:pPr>
        <w:spacing w:after="0"/>
        <w:rPr>
          <w:sz w:val="20"/>
          <w:szCs w:val="20"/>
          <w:color w:val="auto"/>
        </w:rPr>
      </w:pPr>
      <w:r>
        <w:rPr>
          <w:sz w:val="1"/>
          <w:szCs w:val="1"/>
          <w:color w:val="auto"/>
        </w:rPr>
        <w:drawing>
          <wp:inline distT="0" distB="0" distL="0" distR="0">
            <wp:extent cx="337820" cy="346710"/>
            <wp:effectExtent l="0" t="0" r="0" b="0"/>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337820" cy="346710"/>
                    </a:xfrm>
                    <a:prstGeom prst="rect">
                      <a:avLst/>
                    </a:prstGeom>
                    <a:noFill/>
                    <a:ln>
                      <a:noFill/>
                    </a:ln>
                  </pic:spPr>
                </pic:pic>
              </a:graphicData>
            </a:graphic>
          </wp:inline>
        </w:drawing>
      </w:r>
      <w:r>
        <w:rPr>
          <w:rFonts w:ascii="Arial" w:cs="Arial" w:eastAsia="Arial" w:hAnsi="Arial"/>
          <w:sz w:val="28"/>
          <w:szCs w:val="28"/>
          <w:color w:val="009844"/>
        </w:rPr>
        <w:t xml:space="preserve"> Employee Benefit Plans and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-7620</wp:posOffset>
            </wp:positionV>
            <wp:extent cx="8255"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452120</wp:posOffset>
            </wp:positionH>
            <wp:positionV relativeFrom="paragraph">
              <wp:posOffset>-7620</wp:posOffset>
            </wp:positionV>
            <wp:extent cx="8255"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469265</wp:posOffset>
            </wp:positionH>
            <wp:positionV relativeFrom="paragraph">
              <wp:posOffset>-7620</wp:posOffset>
            </wp:positionV>
            <wp:extent cx="8255"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485775</wp:posOffset>
            </wp:positionH>
            <wp:positionV relativeFrom="paragraph">
              <wp:posOffset>-7620</wp:posOffset>
            </wp:positionV>
            <wp:extent cx="8255"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502920</wp:posOffset>
            </wp:positionH>
            <wp:positionV relativeFrom="paragraph">
              <wp:posOffset>-7620</wp:posOffset>
            </wp:positionV>
            <wp:extent cx="8255"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520065</wp:posOffset>
            </wp:positionH>
            <wp:positionV relativeFrom="paragraph">
              <wp:posOffset>-7620</wp:posOffset>
            </wp:positionV>
            <wp:extent cx="8255"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-7620</wp:posOffset>
            </wp:positionV>
            <wp:extent cx="8255"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-7620</wp:posOffset>
            </wp:positionV>
            <wp:extent cx="8255"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-7620</wp:posOffset>
            </wp:positionV>
            <wp:extent cx="8255"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-7620</wp:posOffset>
            </wp:positionV>
            <wp:extent cx="8255"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-7620</wp:posOffset>
            </wp:positionV>
            <wp:extent cx="8255"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621030</wp:posOffset>
            </wp:positionH>
            <wp:positionV relativeFrom="paragraph">
              <wp:posOffset>-7620</wp:posOffset>
            </wp:positionV>
            <wp:extent cx="8255"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638175</wp:posOffset>
            </wp:positionH>
            <wp:positionV relativeFrom="paragraph">
              <wp:posOffset>-7620</wp:posOffset>
            </wp:positionV>
            <wp:extent cx="8255"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-7620</wp:posOffset>
            </wp:positionV>
            <wp:extent cx="8255"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-7620</wp:posOffset>
            </wp:positionV>
            <wp:extent cx="8255"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-7620</wp:posOffset>
            </wp:positionV>
            <wp:extent cx="8255"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-7620</wp:posOffset>
            </wp:positionV>
            <wp:extent cx="8255"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722630</wp:posOffset>
            </wp:positionH>
            <wp:positionV relativeFrom="paragraph">
              <wp:posOffset>-7620</wp:posOffset>
            </wp:positionV>
            <wp:extent cx="8255"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739775</wp:posOffset>
            </wp:positionH>
            <wp:positionV relativeFrom="paragraph">
              <wp:posOffset>-7620</wp:posOffset>
            </wp:positionV>
            <wp:extent cx="8255"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-7620</wp:posOffset>
            </wp:positionV>
            <wp:extent cx="8255"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773430</wp:posOffset>
            </wp:positionH>
            <wp:positionV relativeFrom="paragraph">
              <wp:posOffset>-7620</wp:posOffset>
            </wp:positionV>
            <wp:extent cx="8255"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789940</wp:posOffset>
            </wp:positionH>
            <wp:positionV relativeFrom="paragraph">
              <wp:posOffset>-7620</wp:posOffset>
            </wp:positionV>
            <wp:extent cx="8255"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-7620</wp:posOffset>
            </wp:positionV>
            <wp:extent cx="8255"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824230</wp:posOffset>
            </wp:positionH>
            <wp:positionV relativeFrom="paragraph">
              <wp:posOffset>-7620</wp:posOffset>
            </wp:positionV>
            <wp:extent cx="8255"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840740</wp:posOffset>
            </wp:positionH>
            <wp:positionV relativeFrom="paragraph">
              <wp:posOffset>-7620</wp:posOffset>
            </wp:positionV>
            <wp:extent cx="8255"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857885</wp:posOffset>
            </wp:positionH>
            <wp:positionV relativeFrom="paragraph">
              <wp:posOffset>-7620</wp:posOffset>
            </wp:positionV>
            <wp:extent cx="8255"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875030</wp:posOffset>
            </wp:positionH>
            <wp:positionV relativeFrom="paragraph">
              <wp:posOffset>-7620</wp:posOffset>
            </wp:positionV>
            <wp:extent cx="8255"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891540</wp:posOffset>
            </wp:positionH>
            <wp:positionV relativeFrom="paragraph">
              <wp:posOffset>-7620</wp:posOffset>
            </wp:positionV>
            <wp:extent cx="8255"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-7620</wp:posOffset>
            </wp:positionV>
            <wp:extent cx="8255"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925195</wp:posOffset>
            </wp:positionH>
            <wp:positionV relativeFrom="paragraph">
              <wp:posOffset>-7620</wp:posOffset>
            </wp:positionV>
            <wp:extent cx="8255"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942340</wp:posOffset>
            </wp:positionH>
            <wp:positionV relativeFrom="paragraph">
              <wp:posOffset>-7620</wp:posOffset>
            </wp:positionV>
            <wp:extent cx="8255"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-7620</wp:posOffset>
            </wp:positionV>
            <wp:extent cx="8255"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975995</wp:posOffset>
            </wp:positionH>
            <wp:positionV relativeFrom="paragraph">
              <wp:posOffset>-7620</wp:posOffset>
            </wp:positionV>
            <wp:extent cx="8255"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993140</wp:posOffset>
            </wp:positionH>
            <wp:positionV relativeFrom="paragraph">
              <wp:posOffset>-7620</wp:posOffset>
            </wp:positionV>
            <wp:extent cx="8255"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1010285</wp:posOffset>
            </wp:positionH>
            <wp:positionV relativeFrom="paragraph">
              <wp:posOffset>-7620</wp:posOffset>
            </wp:positionV>
            <wp:extent cx="8255"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1026795</wp:posOffset>
            </wp:positionH>
            <wp:positionV relativeFrom="paragraph">
              <wp:posOffset>-7620</wp:posOffset>
            </wp:positionV>
            <wp:extent cx="8255"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-7620</wp:posOffset>
            </wp:positionV>
            <wp:extent cx="8255"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1060450</wp:posOffset>
            </wp:positionH>
            <wp:positionV relativeFrom="paragraph">
              <wp:posOffset>-7620</wp:posOffset>
            </wp:positionV>
            <wp:extent cx="8255"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-7620</wp:posOffset>
            </wp:positionV>
            <wp:extent cx="8255"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-7620</wp:posOffset>
            </wp:positionV>
            <wp:extent cx="8255"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-7620</wp:posOffset>
            </wp:positionV>
            <wp:extent cx="8255"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-7620</wp:posOffset>
            </wp:positionV>
            <wp:extent cx="8255"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-7620</wp:posOffset>
            </wp:positionV>
            <wp:extent cx="8255"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1162050</wp:posOffset>
            </wp:positionH>
            <wp:positionV relativeFrom="paragraph">
              <wp:posOffset>-7620</wp:posOffset>
            </wp:positionV>
            <wp:extent cx="8255"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1179195</wp:posOffset>
            </wp:positionH>
            <wp:positionV relativeFrom="paragraph">
              <wp:posOffset>-7620</wp:posOffset>
            </wp:positionV>
            <wp:extent cx="8255"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1195705</wp:posOffset>
            </wp:positionH>
            <wp:positionV relativeFrom="paragraph">
              <wp:posOffset>-7620</wp:posOffset>
            </wp:positionV>
            <wp:extent cx="8255"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1212850</wp:posOffset>
            </wp:positionH>
            <wp:positionV relativeFrom="paragraph">
              <wp:posOffset>-7620</wp:posOffset>
            </wp:positionV>
            <wp:extent cx="8255"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1229995</wp:posOffset>
            </wp:positionH>
            <wp:positionV relativeFrom="paragraph">
              <wp:posOffset>-7620</wp:posOffset>
            </wp:positionV>
            <wp:extent cx="8255"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-7620</wp:posOffset>
            </wp:positionV>
            <wp:extent cx="8255"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1263650</wp:posOffset>
            </wp:positionH>
            <wp:positionV relativeFrom="paragraph">
              <wp:posOffset>-7620</wp:posOffset>
            </wp:positionV>
            <wp:extent cx="8255"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-7620</wp:posOffset>
            </wp:positionV>
            <wp:extent cx="8255"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-7620</wp:posOffset>
            </wp:positionV>
            <wp:extent cx="8255"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1314450</wp:posOffset>
            </wp:positionH>
            <wp:positionV relativeFrom="paragraph">
              <wp:posOffset>-7620</wp:posOffset>
            </wp:positionV>
            <wp:extent cx="8255"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-7620</wp:posOffset>
            </wp:positionV>
            <wp:extent cx="8255"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1348105</wp:posOffset>
            </wp:positionH>
            <wp:positionV relativeFrom="paragraph">
              <wp:posOffset>-7620</wp:posOffset>
            </wp:positionV>
            <wp:extent cx="8255"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1365250</wp:posOffset>
            </wp:positionH>
            <wp:positionV relativeFrom="paragraph">
              <wp:posOffset>-7620</wp:posOffset>
            </wp:positionV>
            <wp:extent cx="8255"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1381760</wp:posOffset>
            </wp:positionH>
            <wp:positionV relativeFrom="paragraph">
              <wp:posOffset>-7620</wp:posOffset>
            </wp:positionV>
            <wp:extent cx="8255"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1398905</wp:posOffset>
            </wp:positionH>
            <wp:positionV relativeFrom="paragraph">
              <wp:posOffset>-7620</wp:posOffset>
            </wp:positionV>
            <wp:extent cx="8255"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1416050</wp:posOffset>
            </wp:positionH>
            <wp:positionV relativeFrom="paragraph">
              <wp:posOffset>-7620</wp:posOffset>
            </wp:positionV>
            <wp:extent cx="8255"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1432560</wp:posOffset>
            </wp:positionH>
            <wp:positionV relativeFrom="paragraph">
              <wp:posOffset>-7620</wp:posOffset>
            </wp:positionV>
            <wp:extent cx="8255"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1449705</wp:posOffset>
            </wp:positionH>
            <wp:positionV relativeFrom="paragraph">
              <wp:posOffset>-7620</wp:posOffset>
            </wp:positionV>
            <wp:extent cx="8255"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1466215</wp:posOffset>
            </wp:positionH>
            <wp:positionV relativeFrom="paragraph">
              <wp:posOffset>-7620</wp:posOffset>
            </wp:positionV>
            <wp:extent cx="8255"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1483360</wp:posOffset>
            </wp:positionH>
            <wp:positionV relativeFrom="paragraph">
              <wp:posOffset>-7620</wp:posOffset>
            </wp:positionV>
            <wp:extent cx="8255"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1500505</wp:posOffset>
            </wp:positionH>
            <wp:positionV relativeFrom="paragraph">
              <wp:posOffset>-7620</wp:posOffset>
            </wp:positionV>
            <wp:extent cx="8255"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1517015</wp:posOffset>
            </wp:positionH>
            <wp:positionV relativeFrom="paragraph">
              <wp:posOffset>-7620</wp:posOffset>
            </wp:positionV>
            <wp:extent cx="8255"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1534160</wp:posOffset>
            </wp:positionH>
            <wp:positionV relativeFrom="paragraph">
              <wp:posOffset>-7620</wp:posOffset>
            </wp:positionV>
            <wp:extent cx="8255"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1551305</wp:posOffset>
            </wp:positionH>
            <wp:positionV relativeFrom="paragraph">
              <wp:posOffset>-7620</wp:posOffset>
            </wp:positionV>
            <wp:extent cx="8255"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1567815</wp:posOffset>
            </wp:positionH>
            <wp:positionV relativeFrom="paragraph">
              <wp:posOffset>-7620</wp:posOffset>
            </wp:positionV>
            <wp:extent cx="8255"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1584960</wp:posOffset>
            </wp:positionH>
            <wp:positionV relativeFrom="paragraph">
              <wp:posOffset>-7620</wp:posOffset>
            </wp:positionV>
            <wp:extent cx="8255"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1601470</wp:posOffset>
            </wp:positionH>
            <wp:positionV relativeFrom="paragraph">
              <wp:posOffset>-7620</wp:posOffset>
            </wp:positionV>
            <wp:extent cx="8255"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1618615</wp:posOffset>
            </wp:positionH>
            <wp:positionV relativeFrom="paragraph">
              <wp:posOffset>-7620</wp:posOffset>
            </wp:positionV>
            <wp:extent cx="8255"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1635760</wp:posOffset>
            </wp:positionH>
            <wp:positionV relativeFrom="paragraph">
              <wp:posOffset>-7620</wp:posOffset>
            </wp:positionV>
            <wp:extent cx="8255"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1652270</wp:posOffset>
            </wp:positionH>
            <wp:positionV relativeFrom="paragraph">
              <wp:posOffset>-7620</wp:posOffset>
            </wp:positionV>
            <wp:extent cx="8255"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1669415</wp:posOffset>
            </wp:positionH>
            <wp:positionV relativeFrom="paragraph">
              <wp:posOffset>-7620</wp:posOffset>
            </wp:positionV>
            <wp:extent cx="8255"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-7620</wp:posOffset>
            </wp:positionV>
            <wp:extent cx="8255"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-7620</wp:posOffset>
            </wp:positionV>
            <wp:extent cx="8255"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-7620</wp:posOffset>
            </wp:positionV>
            <wp:extent cx="8255"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-7620</wp:posOffset>
            </wp:positionV>
            <wp:extent cx="8255"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-7620</wp:posOffset>
            </wp:positionV>
            <wp:extent cx="8255"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-7620</wp:posOffset>
            </wp:positionV>
            <wp:extent cx="8255"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-7620</wp:posOffset>
            </wp:positionV>
            <wp:extent cx="8255"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1804670</wp:posOffset>
            </wp:positionH>
            <wp:positionV relativeFrom="paragraph">
              <wp:posOffset>-7620</wp:posOffset>
            </wp:positionV>
            <wp:extent cx="8255"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-7620</wp:posOffset>
            </wp:positionV>
            <wp:extent cx="8255"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-7620</wp:posOffset>
            </wp:positionV>
            <wp:extent cx="8255"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-7620</wp:posOffset>
            </wp:positionV>
            <wp:extent cx="8255"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1871980</wp:posOffset>
            </wp:positionH>
            <wp:positionV relativeFrom="paragraph">
              <wp:posOffset>-7620</wp:posOffset>
            </wp:positionV>
            <wp:extent cx="8255"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1889125</wp:posOffset>
            </wp:positionH>
            <wp:positionV relativeFrom="paragraph">
              <wp:posOffset>-7620</wp:posOffset>
            </wp:positionV>
            <wp:extent cx="8255"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1906270</wp:posOffset>
            </wp:positionH>
            <wp:positionV relativeFrom="paragraph">
              <wp:posOffset>-7620</wp:posOffset>
            </wp:positionV>
            <wp:extent cx="8255"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1922780</wp:posOffset>
            </wp:positionH>
            <wp:positionV relativeFrom="paragraph">
              <wp:posOffset>-7620</wp:posOffset>
            </wp:positionV>
            <wp:extent cx="8255"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1939925</wp:posOffset>
            </wp:positionH>
            <wp:positionV relativeFrom="paragraph">
              <wp:posOffset>-7620</wp:posOffset>
            </wp:positionV>
            <wp:extent cx="8255"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1956435</wp:posOffset>
            </wp:positionH>
            <wp:positionV relativeFrom="paragraph">
              <wp:posOffset>-7620</wp:posOffset>
            </wp:positionV>
            <wp:extent cx="8255"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-7620</wp:posOffset>
            </wp:positionV>
            <wp:extent cx="8255"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1990725</wp:posOffset>
            </wp:positionH>
            <wp:positionV relativeFrom="paragraph">
              <wp:posOffset>-7620</wp:posOffset>
            </wp:positionV>
            <wp:extent cx="8255"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2007235</wp:posOffset>
            </wp:positionH>
            <wp:positionV relativeFrom="paragraph">
              <wp:posOffset>-7620</wp:posOffset>
            </wp:positionV>
            <wp:extent cx="8255"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2024380</wp:posOffset>
            </wp:positionH>
            <wp:positionV relativeFrom="paragraph">
              <wp:posOffset>-7620</wp:posOffset>
            </wp:positionV>
            <wp:extent cx="8255"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2041525</wp:posOffset>
            </wp:positionH>
            <wp:positionV relativeFrom="paragraph">
              <wp:posOffset>-7620</wp:posOffset>
            </wp:positionV>
            <wp:extent cx="8255"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2058035</wp:posOffset>
            </wp:positionH>
            <wp:positionV relativeFrom="paragraph">
              <wp:posOffset>-7620</wp:posOffset>
            </wp:positionV>
            <wp:extent cx="8255"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2075180</wp:posOffset>
            </wp:positionH>
            <wp:positionV relativeFrom="paragraph">
              <wp:posOffset>-7620</wp:posOffset>
            </wp:positionV>
            <wp:extent cx="8255"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2091690</wp:posOffset>
            </wp:positionH>
            <wp:positionV relativeFrom="paragraph">
              <wp:posOffset>-7620</wp:posOffset>
            </wp:positionV>
            <wp:extent cx="8255"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2108835</wp:posOffset>
            </wp:positionH>
            <wp:positionV relativeFrom="paragraph">
              <wp:posOffset>-7620</wp:posOffset>
            </wp:positionV>
            <wp:extent cx="8255"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2125980</wp:posOffset>
            </wp:positionH>
            <wp:positionV relativeFrom="paragraph">
              <wp:posOffset>-7620</wp:posOffset>
            </wp:positionV>
            <wp:extent cx="8255"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2142490</wp:posOffset>
            </wp:positionH>
            <wp:positionV relativeFrom="paragraph">
              <wp:posOffset>-7620</wp:posOffset>
            </wp:positionV>
            <wp:extent cx="8255"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2159635</wp:posOffset>
            </wp:positionH>
            <wp:positionV relativeFrom="paragraph">
              <wp:posOffset>-7620</wp:posOffset>
            </wp:positionV>
            <wp:extent cx="8255"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2176780</wp:posOffset>
            </wp:positionH>
            <wp:positionV relativeFrom="paragraph">
              <wp:posOffset>-7620</wp:posOffset>
            </wp:positionV>
            <wp:extent cx="8255"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2193290</wp:posOffset>
            </wp:positionH>
            <wp:positionV relativeFrom="paragraph">
              <wp:posOffset>-7620</wp:posOffset>
            </wp:positionV>
            <wp:extent cx="8255"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2210435</wp:posOffset>
            </wp:positionH>
            <wp:positionV relativeFrom="paragraph">
              <wp:posOffset>-7620</wp:posOffset>
            </wp:positionV>
            <wp:extent cx="8255"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2226945</wp:posOffset>
            </wp:positionH>
            <wp:positionV relativeFrom="paragraph">
              <wp:posOffset>-7620</wp:posOffset>
            </wp:positionV>
            <wp:extent cx="8255"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-7620</wp:posOffset>
            </wp:positionV>
            <wp:extent cx="8255"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2261235</wp:posOffset>
            </wp:positionH>
            <wp:positionV relativeFrom="paragraph">
              <wp:posOffset>-7620</wp:posOffset>
            </wp:positionV>
            <wp:extent cx="8255"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-7620</wp:posOffset>
            </wp:positionV>
            <wp:extent cx="8255"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2294890</wp:posOffset>
            </wp:positionH>
            <wp:positionV relativeFrom="paragraph">
              <wp:posOffset>-7620</wp:posOffset>
            </wp:positionV>
            <wp:extent cx="8255"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2312035</wp:posOffset>
            </wp:positionH>
            <wp:positionV relativeFrom="paragraph">
              <wp:posOffset>-7620</wp:posOffset>
            </wp:positionV>
            <wp:extent cx="8255"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-7620</wp:posOffset>
            </wp:positionV>
            <wp:extent cx="8255"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-7620</wp:posOffset>
            </wp:positionV>
            <wp:extent cx="8255"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-7620</wp:posOffset>
            </wp:positionV>
            <wp:extent cx="8255"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-7620</wp:posOffset>
            </wp:positionV>
            <wp:extent cx="8255"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-7620</wp:posOffset>
            </wp:positionV>
            <wp:extent cx="8255"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-7620</wp:posOffset>
            </wp:positionV>
            <wp:extent cx="8255"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-7620</wp:posOffset>
            </wp:positionV>
            <wp:extent cx="8255"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-7620</wp:posOffset>
            </wp:positionV>
            <wp:extent cx="8255"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-7620</wp:posOffset>
            </wp:positionV>
            <wp:extent cx="8255"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-7620</wp:posOffset>
            </wp:positionV>
            <wp:extent cx="8255"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-7620</wp:posOffset>
            </wp:positionV>
            <wp:extent cx="8255"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2514600</wp:posOffset>
            </wp:positionH>
            <wp:positionV relativeFrom="paragraph">
              <wp:posOffset>-7620</wp:posOffset>
            </wp:positionV>
            <wp:extent cx="8255"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2531745</wp:posOffset>
            </wp:positionH>
            <wp:positionV relativeFrom="paragraph">
              <wp:posOffset>-7620</wp:posOffset>
            </wp:positionV>
            <wp:extent cx="8255"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-7620</wp:posOffset>
            </wp:positionV>
            <wp:extent cx="8255"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2565400</wp:posOffset>
            </wp:positionH>
            <wp:positionV relativeFrom="paragraph">
              <wp:posOffset>-7620</wp:posOffset>
            </wp:positionV>
            <wp:extent cx="8255"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2582545</wp:posOffset>
            </wp:positionH>
            <wp:positionV relativeFrom="paragraph">
              <wp:posOffset>-7620</wp:posOffset>
            </wp:positionV>
            <wp:extent cx="8255"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2599055</wp:posOffset>
            </wp:positionH>
            <wp:positionV relativeFrom="paragraph">
              <wp:posOffset>-7620</wp:posOffset>
            </wp:positionV>
            <wp:extent cx="8255"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2616200</wp:posOffset>
            </wp:positionH>
            <wp:positionV relativeFrom="paragraph">
              <wp:posOffset>-7620</wp:posOffset>
            </wp:positionV>
            <wp:extent cx="8255"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2632710</wp:posOffset>
            </wp:positionH>
            <wp:positionV relativeFrom="paragraph">
              <wp:posOffset>-7620</wp:posOffset>
            </wp:positionV>
            <wp:extent cx="8255"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2649855</wp:posOffset>
            </wp:positionH>
            <wp:positionV relativeFrom="paragraph">
              <wp:posOffset>-7620</wp:posOffset>
            </wp:positionV>
            <wp:extent cx="8255"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2667000</wp:posOffset>
            </wp:positionH>
            <wp:positionV relativeFrom="paragraph">
              <wp:posOffset>-7620</wp:posOffset>
            </wp:positionV>
            <wp:extent cx="8255"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2683510</wp:posOffset>
            </wp:positionH>
            <wp:positionV relativeFrom="paragraph">
              <wp:posOffset>-7620</wp:posOffset>
            </wp:positionV>
            <wp:extent cx="8255"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2700655</wp:posOffset>
            </wp:positionH>
            <wp:positionV relativeFrom="paragraph">
              <wp:posOffset>-7620</wp:posOffset>
            </wp:positionV>
            <wp:extent cx="8255"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2717800</wp:posOffset>
            </wp:positionH>
            <wp:positionV relativeFrom="paragraph">
              <wp:posOffset>-7620</wp:posOffset>
            </wp:positionV>
            <wp:extent cx="8255"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2734310</wp:posOffset>
            </wp:positionH>
            <wp:positionV relativeFrom="paragraph">
              <wp:posOffset>-7620</wp:posOffset>
            </wp:positionV>
            <wp:extent cx="8255"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2751455</wp:posOffset>
            </wp:positionH>
            <wp:positionV relativeFrom="paragraph">
              <wp:posOffset>-7620</wp:posOffset>
            </wp:positionV>
            <wp:extent cx="8255"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2767965</wp:posOffset>
            </wp:positionH>
            <wp:positionV relativeFrom="paragraph">
              <wp:posOffset>-7620</wp:posOffset>
            </wp:positionV>
            <wp:extent cx="8255"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2785110</wp:posOffset>
            </wp:positionH>
            <wp:positionV relativeFrom="paragraph">
              <wp:posOffset>-7620</wp:posOffset>
            </wp:positionV>
            <wp:extent cx="8255"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-7620</wp:posOffset>
            </wp:positionV>
            <wp:extent cx="8255"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2818765</wp:posOffset>
            </wp:positionH>
            <wp:positionV relativeFrom="paragraph">
              <wp:posOffset>-7620</wp:posOffset>
            </wp:positionV>
            <wp:extent cx="8255"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2835910</wp:posOffset>
            </wp:positionH>
            <wp:positionV relativeFrom="paragraph">
              <wp:posOffset>-7620</wp:posOffset>
            </wp:positionV>
            <wp:extent cx="8255"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2853055</wp:posOffset>
            </wp:positionH>
            <wp:positionV relativeFrom="paragraph">
              <wp:posOffset>-7620</wp:posOffset>
            </wp:positionV>
            <wp:extent cx="8255"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-7620</wp:posOffset>
            </wp:positionV>
            <wp:extent cx="8255"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-7620</wp:posOffset>
            </wp:positionV>
            <wp:extent cx="8255"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2903220</wp:posOffset>
            </wp:positionH>
            <wp:positionV relativeFrom="paragraph">
              <wp:posOffset>-7620</wp:posOffset>
            </wp:positionV>
            <wp:extent cx="8255"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2920365</wp:posOffset>
            </wp:positionH>
            <wp:positionV relativeFrom="paragraph">
              <wp:posOffset>-7620</wp:posOffset>
            </wp:positionV>
            <wp:extent cx="8255"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2937510</wp:posOffset>
            </wp:positionH>
            <wp:positionV relativeFrom="paragraph">
              <wp:posOffset>-7620</wp:posOffset>
            </wp:positionV>
            <wp:extent cx="8255"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-7620</wp:posOffset>
            </wp:positionV>
            <wp:extent cx="8255"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-7620</wp:posOffset>
            </wp:positionV>
            <wp:extent cx="8255"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-7620</wp:posOffset>
            </wp:positionV>
            <wp:extent cx="8255"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-7620</wp:posOffset>
            </wp:positionV>
            <wp:extent cx="8255"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-7620</wp:posOffset>
            </wp:positionV>
            <wp:extent cx="8255"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3038475</wp:posOffset>
            </wp:positionH>
            <wp:positionV relativeFrom="paragraph">
              <wp:posOffset>-7620</wp:posOffset>
            </wp:positionV>
            <wp:extent cx="8255"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3055620</wp:posOffset>
            </wp:positionH>
            <wp:positionV relativeFrom="paragraph">
              <wp:posOffset>-7620</wp:posOffset>
            </wp:positionV>
            <wp:extent cx="8255"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3072765</wp:posOffset>
            </wp:positionH>
            <wp:positionV relativeFrom="paragraph">
              <wp:posOffset>-7620</wp:posOffset>
            </wp:positionV>
            <wp:extent cx="8255"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-7620</wp:posOffset>
            </wp:positionV>
            <wp:extent cx="8255"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3106420</wp:posOffset>
            </wp:positionH>
            <wp:positionV relativeFrom="paragraph">
              <wp:posOffset>-7620</wp:posOffset>
            </wp:positionV>
            <wp:extent cx="8255"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3122930</wp:posOffset>
            </wp:positionH>
            <wp:positionV relativeFrom="paragraph">
              <wp:posOffset>-7620</wp:posOffset>
            </wp:positionV>
            <wp:extent cx="8255"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-7620</wp:posOffset>
            </wp:positionV>
            <wp:extent cx="8255"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-7620</wp:posOffset>
            </wp:positionV>
            <wp:extent cx="8255"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3173730</wp:posOffset>
            </wp:positionH>
            <wp:positionV relativeFrom="paragraph">
              <wp:posOffset>-7620</wp:posOffset>
            </wp:positionV>
            <wp:extent cx="8255"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3190875</wp:posOffset>
            </wp:positionH>
            <wp:positionV relativeFrom="paragraph">
              <wp:posOffset>-7620</wp:posOffset>
            </wp:positionV>
            <wp:extent cx="8255"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3208020</wp:posOffset>
            </wp:positionH>
            <wp:positionV relativeFrom="paragraph">
              <wp:posOffset>-7620</wp:posOffset>
            </wp:positionV>
            <wp:extent cx="8255"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-7620</wp:posOffset>
            </wp:positionV>
            <wp:extent cx="8255"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3241675</wp:posOffset>
            </wp:positionH>
            <wp:positionV relativeFrom="paragraph">
              <wp:posOffset>-7620</wp:posOffset>
            </wp:positionV>
            <wp:extent cx="8255"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-7620</wp:posOffset>
            </wp:positionV>
            <wp:extent cx="8255"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3275330</wp:posOffset>
            </wp:positionH>
            <wp:positionV relativeFrom="paragraph">
              <wp:posOffset>-7620</wp:posOffset>
            </wp:positionV>
            <wp:extent cx="8255"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-7620</wp:posOffset>
            </wp:positionV>
            <wp:extent cx="8255"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-7620</wp:posOffset>
            </wp:positionV>
            <wp:extent cx="8255"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3326130</wp:posOffset>
            </wp:positionH>
            <wp:positionV relativeFrom="paragraph">
              <wp:posOffset>-7620</wp:posOffset>
            </wp:positionV>
            <wp:extent cx="8255"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3343275</wp:posOffset>
            </wp:positionH>
            <wp:positionV relativeFrom="paragraph">
              <wp:posOffset>-7620</wp:posOffset>
            </wp:positionV>
            <wp:extent cx="8255"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-7620</wp:posOffset>
            </wp:positionV>
            <wp:extent cx="8255"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3376930</wp:posOffset>
            </wp:positionH>
            <wp:positionV relativeFrom="paragraph">
              <wp:posOffset>-7620</wp:posOffset>
            </wp:positionV>
            <wp:extent cx="8255"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3393440</wp:posOffset>
            </wp:positionH>
            <wp:positionV relativeFrom="paragraph">
              <wp:posOffset>-7620</wp:posOffset>
            </wp:positionV>
            <wp:extent cx="8255"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-7620</wp:posOffset>
            </wp:positionV>
            <wp:extent cx="8255"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3427730</wp:posOffset>
            </wp:positionH>
            <wp:positionV relativeFrom="paragraph">
              <wp:posOffset>-7620</wp:posOffset>
            </wp:positionV>
            <wp:extent cx="8255"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3444240</wp:posOffset>
            </wp:positionH>
            <wp:positionV relativeFrom="paragraph">
              <wp:posOffset>-7620</wp:posOffset>
            </wp:positionV>
            <wp:extent cx="8255"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-7620</wp:posOffset>
            </wp:positionV>
            <wp:extent cx="8255"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3478530</wp:posOffset>
            </wp:positionH>
            <wp:positionV relativeFrom="paragraph">
              <wp:posOffset>-7620</wp:posOffset>
            </wp:positionV>
            <wp:extent cx="8255"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-7620</wp:posOffset>
            </wp:positionV>
            <wp:extent cx="8255"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-7620</wp:posOffset>
            </wp:positionV>
            <wp:extent cx="8255"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-7620</wp:posOffset>
            </wp:positionV>
            <wp:extent cx="8255"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-7620</wp:posOffset>
            </wp:positionV>
            <wp:extent cx="8255"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-7620</wp:posOffset>
            </wp:positionV>
            <wp:extent cx="8255"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-7620</wp:posOffset>
            </wp:positionV>
            <wp:extent cx="8255"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-7620</wp:posOffset>
            </wp:positionV>
            <wp:extent cx="8255"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-7620</wp:posOffset>
            </wp:positionV>
            <wp:extent cx="8255"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3630295</wp:posOffset>
            </wp:positionH>
            <wp:positionV relativeFrom="paragraph">
              <wp:posOffset>-7620</wp:posOffset>
            </wp:positionV>
            <wp:extent cx="8255"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3647440</wp:posOffset>
            </wp:positionH>
            <wp:positionV relativeFrom="paragraph">
              <wp:posOffset>-7620</wp:posOffset>
            </wp:positionV>
            <wp:extent cx="8255"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3663950</wp:posOffset>
            </wp:positionH>
            <wp:positionV relativeFrom="paragraph">
              <wp:posOffset>-7620</wp:posOffset>
            </wp:positionV>
            <wp:extent cx="8255"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3681095</wp:posOffset>
            </wp:positionH>
            <wp:positionV relativeFrom="paragraph">
              <wp:posOffset>-7620</wp:posOffset>
            </wp:positionV>
            <wp:extent cx="8255"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-7620</wp:posOffset>
            </wp:positionV>
            <wp:extent cx="8255"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3714750</wp:posOffset>
            </wp:positionH>
            <wp:positionV relativeFrom="paragraph">
              <wp:posOffset>-7620</wp:posOffset>
            </wp:positionV>
            <wp:extent cx="8255"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-7620</wp:posOffset>
            </wp:positionV>
            <wp:extent cx="8255"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-7620</wp:posOffset>
            </wp:positionV>
            <wp:extent cx="8255" cy="825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-7620</wp:posOffset>
            </wp:positionV>
            <wp:extent cx="8255" cy="82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-7620</wp:posOffset>
            </wp:positionV>
            <wp:extent cx="8255" cy="82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3799205</wp:posOffset>
            </wp:positionH>
            <wp:positionV relativeFrom="paragraph">
              <wp:posOffset>-7620</wp:posOffset>
            </wp:positionV>
            <wp:extent cx="8255" cy="825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3816350</wp:posOffset>
            </wp:positionH>
            <wp:positionV relativeFrom="paragraph">
              <wp:posOffset>-7620</wp:posOffset>
            </wp:positionV>
            <wp:extent cx="8255"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3833495</wp:posOffset>
            </wp:positionH>
            <wp:positionV relativeFrom="paragraph">
              <wp:posOffset>-7620</wp:posOffset>
            </wp:positionV>
            <wp:extent cx="8255" cy="82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3850005</wp:posOffset>
            </wp:positionH>
            <wp:positionV relativeFrom="paragraph">
              <wp:posOffset>-7620</wp:posOffset>
            </wp:positionV>
            <wp:extent cx="8255"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3867150</wp:posOffset>
            </wp:positionH>
            <wp:positionV relativeFrom="paragraph">
              <wp:posOffset>-7620</wp:posOffset>
            </wp:positionV>
            <wp:extent cx="8255" cy="825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3884295</wp:posOffset>
            </wp:positionH>
            <wp:positionV relativeFrom="paragraph">
              <wp:posOffset>-7620</wp:posOffset>
            </wp:positionV>
            <wp:extent cx="8255"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-7620</wp:posOffset>
            </wp:positionV>
            <wp:extent cx="8255"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-7620</wp:posOffset>
            </wp:positionV>
            <wp:extent cx="8255"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-7620</wp:posOffset>
            </wp:positionV>
            <wp:extent cx="8255"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3951605</wp:posOffset>
            </wp:positionH>
            <wp:positionV relativeFrom="paragraph">
              <wp:posOffset>-7620</wp:posOffset>
            </wp:positionV>
            <wp:extent cx="8255"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-7620</wp:posOffset>
            </wp:positionV>
            <wp:extent cx="8255"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3985260</wp:posOffset>
            </wp:positionH>
            <wp:positionV relativeFrom="paragraph">
              <wp:posOffset>-7620</wp:posOffset>
            </wp:positionV>
            <wp:extent cx="8255"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4002405</wp:posOffset>
            </wp:positionH>
            <wp:positionV relativeFrom="paragraph">
              <wp:posOffset>-7620</wp:posOffset>
            </wp:positionV>
            <wp:extent cx="8255"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4019550</wp:posOffset>
            </wp:positionH>
            <wp:positionV relativeFrom="paragraph">
              <wp:posOffset>-7620</wp:posOffset>
            </wp:positionV>
            <wp:extent cx="8255"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-7620</wp:posOffset>
            </wp:positionV>
            <wp:extent cx="8255"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-7620</wp:posOffset>
            </wp:positionV>
            <wp:extent cx="8255"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4069715</wp:posOffset>
            </wp:positionH>
            <wp:positionV relativeFrom="paragraph">
              <wp:posOffset>-7620</wp:posOffset>
            </wp:positionV>
            <wp:extent cx="8255"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4086860</wp:posOffset>
            </wp:positionH>
            <wp:positionV relativeFrom="paragraph">
              <wp:posOffset>-7620</wp:posOffset>
            </wp:positionV>
            <wp:extent cx="8255"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4104005</wp:posOffset>
            </wp:positionH>
            <wp:positionV relativeFrom="paragraph">
              <wp:posOffset>-7620</wp:posOffset>
            </wp:positionV>
            <wp:extent cx="8255"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4120515</wp:posOffset>
            </wp:positionH>
            <wp:positionV relativeFrom="paragraph">
              <wp:posOffset>-7620</wp:posOffset>
            </wp:positionV>
            <wp:extent cx="8255"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-7620</wp:posOffset>
            </wp:positionV>
            <wp:extent cx="8255"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4154805</wp:posOffset>
            </wp:positionH>
            <wp:positionV relativeFrom="paragraph">
              <wp:posOffset>-7620</wp:posOffset>
            </wp:positionV>
            <wp:extent cx="8255"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-7620</wp:posOffset>
            </wp:positionV>
            <wp:extent cx="8255"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8255" cy="825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-7620</wp:posOffset>
            </wp:positionV>
            <wp:extent cx="8255"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-7620</wp:posOffset>
            </wp:positionV>
            <wp:extent cx="8255" cy="82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-7620</wp:posOffset>
            </wp:positionV>
            <wp:extent cx="8255"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4255770</wp:posOffset>
            </wp:positionH>
            <wp:positionV relativeFrom="paragraph">
              <wp:posOffset>-7620</wp:posOffset>
            </wp:positionV>
            <wp:extent cx="8255"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4272915</wp:posOffset>
            </wp:positionH>
            <wp:positionV relativeFrom="paragraph">
              <wp:posOffset>-7620</wp:posOffset>
            </wp:positionV>
            <wp:extent cx="8255"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4289425</wp:posOffset>
            </wp:positionH>
            <wp:positionV relativeFrom="paragraph">
              <wp:posOffset>-7620</wp:posOffset>
            </wp:positionV>
            <wp:extent cx="8255"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4306570</wp:posOffset>
            </wp:positionH>
            <wp:positionV relativeFrom="paragraph">
              <wp:posOffset>-7620</wp:posOffset>
            </wp:positionV>
            <wp:extent cx="8255"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4323715</wp:posOffset>
            </wp:positionH>
            <wp:positionV relativeFrom="paragraph">
              <wp:posOffset>-7620</wp:posOffset>
            </wp:positionV>
            <wp:extent cx="8255" cy="825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-7620</wp:posOffset>
            </wp:positionV>
            <wp:extent cx="8255" cy="825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-7620</wp:posOffset>
            </wp:positionV>
            <wp:extent cx="8255"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-7620</wp:posOffset>
            </wp:positionV>
            <wp:extent cx="8255" cy="82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4391025</wp:posOffset>
            </wp:positionH>
            <wp:positionV relativeFrom="paragraph">
              <wp:posOffset>-7620</wp:posOffset>
            </wp:positionV>
            <wp:extent cx="8255"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4408170</wp:posOffset>
            </wp:positionH>
            <wp:positionV relativeFrom="paragraph">
              <wp:posOffset>-7620</wp:posOffset>
            </wp:positionV>
            <wp:extent cx="8255"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4424680</wp:posOffset>
            </wp:positionH>
            <wp:positionV relativeFrom="paragraph">
              <wp:posOffset>-7620</wp:posOffset>
            </wp:positionV>
            <wp:extent cx="8255" cy="825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-7620</wp:posOffset>
            </wp:positionV>
            <wp:extent cx="8255"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4458970</wp:posOffset>
            </wp:positionH>
            <wp:positionV relativeFrom="paragraph">
              <wp:posOffset>-7620</wp:posOffset>
            </wp:positionV>
            <wp:extent cx="8255" cy="82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4475480</wp:posOffset>
            </wp:positionH>
            <wp:positionV relativeFrom="paragraph">
              <wp:posOffset>-7620</wp:posOffset>
            </wp:positionV>
            <wp:extent cx="8255"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4492625</wp:posOffset>
            </wp:positionH>
            <wp:positionV relativeFrom="paragraph">
              <wp:posOffset>-7620</wp:posOffset>
            </wp:positionV>
            <wp:extent cx="8255" cy="825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-7620</wp:posOffset>
            </wp:positionV>
            <wp:extent cx="8255"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4526280</wp:posOffset>
            </wp:positionH>
            <wp:positionV relativeFrom="paragraph">
              <wp:posOffset>-7620</wp:posOffset>
            </wp:positionV>
            <wp:extent cx="8255"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4543425</wp:posOffset>
            </wp:positionH>
            <wp:positionV relativeFrom="paragraph">
              <wp:posOffset>-7620</wp:posOffset>
            </wp:positionV>
            <wp:extent cx="8255"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-7620</wp:posOffset>
            </wp:positionV>
            <wp:extent cx="8255"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-7620</wp:posOffset>
            </wp:positionV>
            <wp:extent cx="8255" cy="825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-7620</wp:posOffset>
            </wp:positionV>
            <wp:extent cx="8255"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4610735</wp:posOffset>
            </wp:positionH>
            <wp:positionV relativeFrom="paragraph">
              <wp:posOffset>-7620</wp:posOffset>
            </wp:positionV>
            <wp:extent cx="8255"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4627880</wp:posOffset>
            </wp:positionH>
            <wp:positionV relativeFrom="paragraph">
              <wp:posOffset>-7620</wp:posOffset>
            </wp:positionV>
            <wp:extent cx="8255"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4645025</wp:posOffset>
            </wp:positionH>
            <wp:positionV relativeFrom="paragraph">
              <wp:posOffset>-7620</wp:posOffset>
            </wp:positionV>
            <wp:extent cx="8255"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-7620</wp:posOffset>
            </wp:positionV>
            <wp:extent cx="8255"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-7620</wp:posOffset>
            </wp:positionV>
            <wp:extent cx="8255"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4695190</wp:posOffset>
            </wp:positionH>
            <wp:positionV relativeFrom="paragraph">
              <wp:posOffset>-7620</wp:posOffset>
            </wp:positionV>
            <wp:extent cx="8255" cy="825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-7620</wp:posOffset>
            </wp:positionV>
            <wp:extent cx="8255" cy="825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-7620</wp:posOffset>
            </wp:positionV>
            <wp:extent cx="8255"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-7620</wp:posOffset>
            </wp:positionV>
            <wp:extent cx="8255" cy="825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-7620</wp:posOffset>
            </wp:positionV>
            <wp:extent cx="8255"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-7620</wp:posOffset>
            </wp:positionV>
            <wp:extent cx="8255" cy="825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8255"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8255"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4830445</wp:posOffset>
            </wp:positionH>
            <wp:positionV relativeFrom="paragraph">
              <wp:posOffset>-7620</wp:posOffset>
            </wp:positionV>
            <wp:extent cx="8255"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4847590</wp:posOffset>
            </wp:positionH>
            <wp:positionV relativeFrom="paragraph">
              <wp:posOffset>-7620</wp:posOffset>
            </wp:positionV>
            <wp:extent cx="8255"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4864735</wp:posOffset>
            </wp:positionH>
            <wp:positionV relativeFrom="paragraph">
              <wp:posOffset>-7620</wp:posOffset>
            </wp:positionV>
            <wp:extent cx="8255" cy="82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4881245</wp:posOffset>
            </wp:positionH>
            <wp:positionV relativeFrom="paragraph">
              <wp:posOffset>-7620</wp:posOffset>
            </wp:positionV>
            <wp:extent cx="8255"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4898390</wp:posOffset>
            </wp:positionH>
            <wp:positionV relativeFrom="paragraph">
              <wp:posOffset>-7620</wp:posOffset>
            </wp:positionV>
            <wp:extent cx="8255" cy="825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-7620</wp:posOffset>
            </wp:positionV>
            <wp:extent cx="8255"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-7620</wp:posOffset>
            </wp:positionV>
            <wp:extent cx="8255"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-7620</wp:posOffset>
            </wp:positionV>
            <wp:extent cx="8255"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4965700</wp:posOffset>
            </wp:positionH>
            <wp:positionV relativeFrom="paragraph">
              <wp:posOffset>-7620</wp:posOffset>
            </wp:positionV>
            <wp:extent cx="8255" cy="82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4982845</wp:posOffset>
            </wp:positionH>
            <wp:positionV relativeFrom="paragraph">
              <wp:posOffset>-7620</wp:posOffset>
            </wp:positionV>
            <wp:extent cx="8255" cy="82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4999990</wp:posOffset>
            </wp:positionH>
            <wp:positionV relativeFrom="paragraph">
              <wp:posOffset>-7620</wp:posOffset>
            </wp:positionV>
            <wp:extent cx="8255"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5016500</wp:posOffset>
            </wp:positionH>
            <wp:positionV relativeFrom="paragraph">
              <wp:posOffset>-7620</wp:posOffset>
            </wp:positionV>
            <wp:extent cx="8255" cy="82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5033645</wp:posOffset>
            </wp:positionH>
            <wp:positionV relativeFrom="paragraph">
              <wp:posOffset>-7620</wp:posOffset>
            </wp:positionV>
            <wp:extent cx="8255" cy="825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-7620</wp:posOffset>
            </wp:positionV>
            <wp:extent cx="8255"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5067300</wp:posOffset>
            </wp:positionH>
            <wp:positionV relativeFrom="paragraph">
              <wp:posOffset>-7620</wp:posOffset>
            </wp:positionV>
            <wp:extent cx="8255"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5084445</wp:posOffset>
            </wp:positionH>
            <wp:positionV relativeFrom="paragraph">
              <wp:posOffset>-7620</wp:posOffset>
            </wp:positionV>
            <wp:extent cx="8255"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5100955</wp:posOffset>
            </wp:positionH>
            <wp:positionV relativeFrom="paragraph">
              <wp:posOffset>-7620</wp:posOffset>
            </wp:positionV>
            <wp:extent cx="8255"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5118100</wp:posOffset>
            </wp:positionH>
            <wp:positionV relativeFrom="paragraph">
              <wp:posOffset>-7620</wp:posOffset>
            </wp:positionV>
            <wp:extent cx="8255" cy="825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5135245</wp:posOffset>
            </wp:positionH>
            <wp:positionV relativeFrom="paragraph">
              <wp:posOffset>-7620</wp:posOffset>
            </wp:positionV>
            <wp:extent cx="8255" cy="825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5151755</wp:posOffset>
            </wp:positionH>
            <wp:positionV relativeFrom="paragraph">
              <wp:posOffset>-7620</wp:posOffset>
            </wp:positionV>
            <wp:extent cx="8255" cy="825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5168900</wp:posOffset>
            </wp:positionH>
            <wp:positionV relativeFrom="paragraph">
              <wp:posOffset>-7620</wp:posOffset>
            </wp:positionV>
            <wp:extent cx="8255"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5186045</wp:posOffset>
            </wp:positionH>
            <wp:positionV relativeFrom="paragraph">
              <wp:posOffset>-7620</wp:posOffset>
            </wp:positionV>
            <wp:extent cx="8255"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-7620</wp:posOffset>
            </wp:positionV>
            <wp:extent cx="8255" cy="825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-7620</wp:posOffset>
            </wp:positionV>
            <wp:extent cx="8255" cy="82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-7620</wp:posOffset>
            </wp:positionV>
            <wp:extent cx="8255" cy="825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-7620</wp:posOffset>
            </wp:positionV>
            <wp:extent cx="8255" cy="825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-7620</wp:posOffset>
            </wp:positionV>
            <wp:extent cx="8255"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5287010</wp:posOffset>
            </wp:positionH>
            <wp:positionV relativeFrom="paragraph">
              <wp:posOffset>-7620</wp:posOffset>
            </wp:positionV>
            <wp:extent cx="8255"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5304155</wp:posOffset>
            </wp:positionH>
            <wp:positionV relativeFrom="paragraph">
              <wp:posOffset>-7620</wp:posOffset>
            </wp:positionV>
            <wp:extent cx="8255"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5321300</wp:posOffset>
            </wp:positionH>
            <wp:positionV relativeFrom="paragraph">
              <wp:posOffset>-7620</wp:posOffset>
            </wp:positionV>
            <wp:extent cx="8255" cy="825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-7620</wp:posOffset>
            </wp:positionV>
            <wp:extent cx="8255" cy="825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-7620</wp:posOffset>
            </wp:positionV>
            <wp:extent cx="8255"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8255" cy="825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8255"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8255"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5422265</wp:posOffset>
            </wp:positionH>
            <wp:positionV relativeFrom="paragraph">
              <wp:posOffset>-7620</wp:posOffset>
            </wp:positionV>
            <wp:extent cx="8255"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5439410</wp:posOffset>
            </wp:positionH>
            <wp:positionV relativeFrom="paragraph">
              <wp:posOffset>-7620</wp:posOffset>
            </wp:positionV>
            <wp:extent cx="8255"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5455920</wp:posOffset>
            </wp:positionH>
            <wp:positionV relativeFrom="paragraph">
              <wp:posOffset>-7620</wp:posOffset>
            </wp:positionV>
            <wp:extent cx="8255" cy="825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5473065</wp:posOffset>
            </wp:positionH>
            <wp:positionV relativeFrom="paragraph">
              <wp:posOffset>-7620</wp:posOffset>
            </wp:positionV>
            <wp:extent cx="8255" cy="825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5490210</wp:posOffset>
            </wp:positionH>
            <wp:positionV relativeFrom="paragraph">
              <wp:posOffset>-7620</wp:posOffset>
            </wp:positionV>
            <wp:extent cx="8255" cy="825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5506720</wp:posOffset>
            </wp:positionH>
            <wp:positionV relativeFrom="paragraph">
              <wp:posOffset>-7620</wp:posOffset>
            </wp:positionV>
            <wp:extent cx="8255"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5523865</wp:posOffset>
            </wp:positionH>
            <wp:positionV relativeFrom="paragraph">
              <wp:posOffset>-7620</wp:posOffset>
            </wp:positionV>
            <wp:extent cx="8255" cy="825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5541010</wp:posOffset>
            </wp:positionH>
            <wp:positionV relativeFrom="paragraph">
              <wp:posOffset>-7620</wp:posOffset>
            </wp:positionV>
            <wp:extent cx="8255" cy="825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-7620</wp:posOffset>
            </wp:positionV>
            <wp:extent cx="8255" cy="825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-7620</wp:posOffset>
            </wp:positionV>
            <wp:extent cx="8255" cy="825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5591175</wp:posOffset>
            </wp:positionH>
            <wp:positionV relativeFrom="paragraph">
              <wp:posOffset>-7620</wp:posOffset>
            </wp:positionV>
            <wp:extent cx="8255"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5608320</wp:posOffset>
            </wp:positionH>
            <wp:positionV relativeFrom="paragraph">
              <wp:posOffset>-7620</wp:posOffset>
            </wp:positionV>
            <wp:extent cx="8255"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5625465</wp:posOffset>
            </wp:positionH>
            <wp:positionV relativeFrom="paragraph">
              <wp:posOffset>-7620</wp:posOffset>
            </wp:positionV>
            <wp:extent cx="8255"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5641975</wp:posOffset>
            </wp:positionH>
            <wp:positionV relativeFrom="paragraph">
              <wp:posOffset>-7620</wp:posOffset>
            </wp:positionV>
            <wp:extent cx="8255" cy="825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5659120</wp:posOffset>
            </wp:positionH>
            <wp:positionV relativeFrom="paragraph">
              <wp:posOffset>-7620</wp:posOffset>
            </wp:positionV>
            <wp:extent cx="8255" cy="82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5676265</wp:posOffset>
            </wp:positionH>
            <wp:positionV relativeFrom="paragraph">
              <wp:posOffset>-7620</wp:posOffset>
            </wp:positionV>
            <wp:extent cx="8255" cy="82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5692775</wp:posOffset>
            </wp:positionH>
            <wp:positionV relativeFrom="paragraph">
              <wp:posOffset>-7620</wp:posOffset>
            </wp:positionV>
            <wp:extent cx="8255"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5709920</wp:posOffset>
            </wp:positionH>
            <wp:positionV relativeFrom="paragraph">
              <wp:posOffset>-7620</wp:posOffset>
            </wp:positionV>
            <wp:extent cx="8255" cy="825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5726430</wp:posOffset>
            </wp:positionH>
            <wp:positionV relativeFrom="paragraph">
              <wp:posOffset>-7620</wp:posOffset>
            </wp:positionV>
            <wp:extent cx="8255" cy="825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5743575</wp:posOffset>
            </wp:positionH>
            <wp:positionV relativeFrom="paragraph">
              <wp:posOffset>-7620</wp:posOffset>
            </wp:positionV>
            <wp:extent cx="8255" cy="82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5760720</wp:posOffset>
            </wp:positionH>
            <wp:positionV relativeFrom="paragraph">
              <wp:posOffset>-7620</wp:posOffset>
            </wp:positionV>
            <wp:extent cx="8255" cy="825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5777230</wp:posOffset>
            </wp:positionH>
            <wp:positionV relativeFrom="paragraph">
              <wp:posOffset>-7620</wp:posOffset>
            </wp:positionV>
            <wp:extent cx="8255" cy="82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5794375</wp:posOffset>
            </wp:positionH>
            <wp:positionV relativeFrom="paragraph">
              <wp:posOffset>-7620</wp:posOffset>
            </wp:positionV>
            <wp:extent cx="8255" cy="825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-7620</wp:posOffset>
            </wp:positionV>
            <wp:extent cx="8255" cy="82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-7620</wp:posOffset>
            </wp:positionV>
            <wp:extent cx="8255"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5845175</wp:posOffset>
            </wp:positionH>
            <wp:positionV relativeFrom="paragraph">
              <wp:posOffset>-7620</wp:posOffset>
            </wp:positionV>
            <wp:extent cx="8255" cy="825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-7620</wp:posOffset>
            </wp:positionV>
            <wp:extent cx="8255"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-7620</wp:posOffset>
            </wp:positionV>
            <wp:extent cx="8255" cy="825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8255" cy="825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5912485</wp:posOffset>
            </wp:positionH>
            <wp:positionV relativeFrom="paragraph">
              <wp:posOffset>-7620</wp:posOffset>
            </wp:positionV>
            <wp:extent cx="8255"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-7620</wp:posOffset>
            </wp:positionV>
            <wp:extent cx="8255" cy="825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5946775</wp:posOffset>
            </wp:positionH>
            <wp:positionV relativeFrom="paragraph">
              <wp:posOffset>-7620</wp:posOffset>
            </wp:positionV>
            <wp:extent cx="8255" cy="825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-7620</wp:posOffset>
            </wp:positionV>
            <wp:extent cx="8255"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-7620</wp:posOffset>
            </wp:positionV>
            <wp:extent cx="8255"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8255" cy="825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8255" cy="825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8255"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6047740</wp:posOffset>
            </wp:positionH>
            <wp:positionV relativeFrom="paragraph">
              <wp:posOffset>-7620</wp:posOffset>
            </wp:positionV>
            <wp:extent cx="8255" cy="825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6064885</wp:posOffset>
            </wp:positionH>
            <wp:positionV relativeFrom="paragraph">
              <wp:posOffset>-7620</wp:posOffset>
            </wp:positionV>
            <wp:extent cx="8255"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6082030</wp:posOffset>
            </wp:positionH>
            <wp:positionV relativeFrom="paragraph">
              <wp:posOffset>-7620</wp:posOffset>
            </wp:positionV>
            <wp:extent cx="8255"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6098540</wp:posOffset>
            </wp:positionH>
            <wp:positionV relativeFrom="paragraph">
              <wp:posOffset>-7620</wp:posOffset>
            </wp:positionV>
            <wp:extent cx="8255"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6115685</wp:posOffset>
            </wp:positionH>
            <wp:positionV relativeFrom="paragraph">
              <wp:posOffset>-7620</wp:posOffset>
            </wp:positionV>
            <wp:extent cx="8255"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6132195</wp:posOffset>
            </wp:positionH>
            <wp:positionV relativeFrom="paragraph">
              <wp:posOffset>-7620</wp:posOffset>
            </wp:positionV>
            <wp:extent cx="8255" cy="825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6149340</wp:posOffset>
            </wp:positionH>
            <wp:positionV relativeFrom="paragraph">
              <wp:posOffset>-7620</wp:posOffset>
            </wp:positionV>
            <wp:extent cx="8255" cy="825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6166485</wp:posOffset>
            </wp:positionH>
            <wp:positionV relativeFrom="paragraph">
              <wp:posOffset>-7620</wp:posOffset>
            </wp:positionV>
            <wp:extent cx="8255" cy="825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6182995</wp:posOffset>
            </wp:positionH>
            <wp:positionV relativeFrom="paragraph">
              <wp:posOffset>-7620</wp:posOffset>
            </wp:positionV>
            <wp:extent cx="8255" cy="825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6200140</wp:posOffset>
            </wp:positionH>
            <wp:positionV relativeFrom="paragraph">
              <wp:posOffset>-7620</wp:posOffset>
            </wp:positionV>
            <wp:extent cx="8255" cy="825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6217285</wp:posOffset>
            </wp:positionH>
            <wp:positionV relativeFrom="paragraph">
              <wp:posOffset>-7620</wp:posOffset>
            </wp:positionV>
            <wp:extent cx="8255" cy="825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6233795</wp:posOffset>
            </wp:positionH>
            <wp:positionV relativeFrom="paragraph">
              <wp:posOffset>-7620</wp:posOffset>
            </wp:positionV>
            <wp:extent cx="8255" cy="825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6250940</wp:posOffset>
            </wp:positionH>
            <wp:positionV relativeFrom="paragraph">
              <wp:posOffset>-7620</wp:posOffset>
            </wp:positionV>
            <wp:extent cx="8255"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6267450</wp:posOffset>
            </wp:positionH>
            <wp:positionV relativeFrom="paragraph">
              <wp:posOffset>-7620</wp:posOffset>
            </wp:positionV>
            <wp:extent cx="8255" cy="825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6284595</wp:posOffset>
            </wp:positionH>
            <wp:positionV relativeFrom="paragraph">
              <wp:posOffset>-7620</wp:posOffset>
            </wp:positionV>
            <wp:extent cx="8255" cy="825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6301740</wp:posOffset>
            </wp:positionH>
            <wp:positionV relativeFrom="paragraph">
              <wp:posOffset>-7620</wp:posOffset>
            </wp:positionV>
            <wp:extent cx="8255" cy="82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6318250</wp:posOffset>
            </wp:positionH>
            <wp:positionV relativeFrom="paragraph">
              <wp:posOffset>-7620</wp:posOffset>
            </wp:positionV>
            <wp:extent cx="8255" cy="825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6335395</wp:posOffset>
            </wp:positionH>
            <wp:positionV relativeFrom="paragraph">
              <wp:posOffset>-7620</wp:posOffset>
            </wp:positionV>
            <wp:extent cx="8255" cy="825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6352540</wp:posOffset>
            </wp:positionH>
            <wp:positionV relativeFrom="paragraph">
              <wp:posOffset>-7620</wp:posOffset>
            </wp:positionV>
            <wp:extent cx="8255" cy="825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6369050</wp:posOffset>
            </wp:positionH>
            <wp:positionV relativeFrom="paragraph">
              <wp:posOffset>-7620</wp:posOffset>
            </wp:positionV>
            <wp:extent cx="8255" cy="825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6386195</wp:posOffset>
            </wp:positionH>
            <wp:positionV relativeFrom="paragraph">
              <wp:posOffset>-7620</wp:posOffset>
            </wp:positionV>
            <wp:extent cx="8255"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-7620</wp:posOffset>
            </wp:positionV>
            <wp:extent cx="8255" cy="825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-7620</wp:posOffset>
            </wp:positionV>
            <wp:extent cx="8255"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-7620</wp:posOffset>
            </wp:positionV>
            <wp:extent cx="8255"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6453505</wp:posOffset>
            </wp:positionH>
            <wp:positionV relativeFrom="paragraph">
              <wp:posOffset>-7620</wp:posOffset>
            </wp:positionV>
            <wp:extent cx="8255" cy="825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6470650</wp:posOffset>
            </wp:positionH>
            <wp:positionV relativeFrom="paragraph">
              <wp:posOffset>-7620</wp:posOffset>
            </wp:positionV>
            <wp:extent cx="8255" cy="825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6487795</wp:posOffset>
            </wp:positionH>
            <wp:positionV relativeFrom="paragraph">
              <wp:posOffset>-7620</wp:posOffset>
            </wp:positionV>
            <wp:extent cx="8255"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6504305</wp:posOffset>
            </wp:positionH>
            <wp:positionV relativeFrom="paragraph">
              <wp:posOffset>-7620</wp:posOffset>
            </wp:positionV>
            <wp:extent cx="8255"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6521450</wp:posOffset>
            </wp:positionH>
            <wp:positionV relativeFrom="paragraph">
              <wp:posOffset>-7620</wp:posOffset>
            </wp:positionV>
            <wp:extent cx="8255" cy="825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-7620</wp:posOffset>
            </wp:positionV>
            <wp:extent cx="8255" cy="825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-7620</wp:posOffset>
            </wp:positionV>
            <wp:extent cx="8255" cy="825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-7620</wp:posOffset>
            </wp:positionV>
            <wp:extent cx="8255"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-7620</wp:posOffset>
            </wp:positionV>
            <wp:extent cx="8255"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-7620</wp:posOffset>
            </wp:positionV>
            <wp:extent cx="8255" cy="825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6622415</wp:posOffset>
            </wp:positionH>
            <wp:positionV relativeFrom="paragraph">
              <wp:posOffset>-7620</wp:posOffset>
            </wp:positionV>
            <wp:extent cx="8255" cy="825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6639560</wp:posOffset>
            </wp:positionH>
            <wp:positionV relativeFrom="paragraph">
              <wp:posOffset>-7620</wp:posOffset>
            </wp:positionV>
            <wp:extent cx="8255" cy="82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6656705</wp:posOffset>
            </wp:positionH>
            <wp:positionV relativeFrom="paragraph">
              <wp:posOffset>-7620</wp:posOffset>
            </wp:positionV>
            <wp:extent cx="8255"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6673215</wp:posOffset>
            </wp:positionH>
            <wp:positionV relativeFrom="paragraph">
              <wp:posOffset>-7620</wp:posOffset>
            </wp:positionV>
            <wp:extent cx="8255" cy="82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6690360</wp:posOffset>
            </wp:positionH>
            <wp:positionV relativeFrom="paragraph">
              <wp:posOffset>-7620</wp:posOffset>
            </wp:positionV>
            <wp:extent cx="8255"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6707505</wp:posOffset>
            </wp:positionH>
            <wp:positionV relativeFrom="paragraph">
              <wp:posOffset>-7620</wp:posOffset>
            </wp:positionV>
            <wp:extent cx="8255" cy="825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6724015</wp:posOffset>
            </wp:positionH>
            <wp:positionV relativeFrom="paragraph">
              <wp:posOffset>-7620</wp:posOffset>
            </wp:positionV>
            <wp:extent cx="8255"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6741160</wp:posOffset>
            </wp:positionH>
            <wp:positionV relativeFrom="paragraph">
              <wp:posOffset>-7620</wp:posOffset>
            </wp:positionV>
            <wp:extent cx="8255"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6757670</wp:posOffset>
            </wp:positionH>
            <wp:positionV relativeFrom="paragraph">
              <wp:posOffset>-7620</wp:posOffset>
            </wp:positionV>
            <wp:extent cx="8255"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6774815</wp:posOffset>
            </wp:positionH>
            <wp:positionV relativeFrom="paragraph">
              <wp:posOffset>-7620</wp:posOffset>
            </wp:positionV>
            <wp:extent cx="8255" cy="825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6791960</wp:posOffset>
            </wp:positionH>
            <wp:positionV relativeFrom="paragraph">
              <wp:posOffset>-7620</wp:posOffset>
            </wp:positionV>
            <wp:extent cx="8255" cy="825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6808470</wp:posOffset>
            </wp:positionH>
            <wp:positionV relativeFrom="paragraph">
              <wp:posOffset>-7620</wp:posOffset>
            </wp:positionV>
            <wp:extent cx="8255" cy="825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6825615</wp:posOffset>
            </wp:positionH>
            <wp:positionV relativeFrom="paragraph">
              <wp:posOffset>-7620</wp:posOffset>
            </wp:positionV>
            <wp:extent cx="8255"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6842760</wp:posOffset>
            </wp:positionH>
            <wp:positionV relativeFrom="paragraph">
              <wp:posOffset>-7620</wp:posOffset>
            </wp:positionV>
            <wp:extent cx="8255" cy="82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6859270</wp:posOffset>
            </wp:positionH>
            <wp:positionV relativeFrom="paragraph">
              <wp:posOffset>-7620</wp:posOffset>
            </wp:positionV>
            <wp:extent cx="8255"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6876415</wp:posOffset>
            </wp:positionH>
            <wp:positionV relativeFrom="paragraph">
              <wp:posOffset>-7620</wp:posOffset>
            </wp:positionV>
            <wp:extent cx="8255" cy="82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6892925</wp:posOffset>
            </wp:positionH>
            <wp:positionV relativeFrom="paragraph">
              <wp:posOffset>-7620</wp:posOffset>
            </wp:positionV>
            <wp:extent cx="8255" cy="825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6910070</wp:posOffset>
            </wp:positionH>
            <wp:positionV relativeFrom="paragraph">
              <wp:posOffset>-7620</wp:posOffset>
            </wp:positionV>
            <wp:extent cx="8255" cy="825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6927215</wp:posOffset>
            </wp:positionH>
            <wp:positionV relativeFrom="paragraph">
              <wp:posOffset>-7620</wp:posOffset>
            </wp:positionV>
            <wp:extent cx="8255" cy="82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6943725</wp:posOffset>
            </wp:positionH>
            <wp:positionV relativeFrom="paragraph">
              <wp:posOffset>-7620</wp:posOffset>
            </wp:positionV>
            <wp:extent cx="8255"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6960870</wp:posOffset>
            </wp:positionH>
            <wp:positionV relativeFrom="paragraph">
              <wp:posOffset>-7620</wp:posOffset>
            </wp:positionV>
            <wp:extent cx="8255" cy="825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6978015</wp:posOffset>
            </wp:positionH>
            <wp:positionV relativeFrom="paragraph">
              <wp:posOffset>-7620</wp:posOffset>
            </wp:positionV>
            <wp:extent cx="8255" cy="825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6994525</wp:posOffset>
            </wp:positionH>
            <wp:positionV relativeFrom="paragraph">
              <wp:posOffset>-7620</wp:posOffset>
            </wp:positionV>
            <wp:extent cx="8255" cy="825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7011670</wp:posOffset>
            </wp:positionH>
            <wp:positionV relativeFrom="paragraph">
              <wp:posOffset>-7620</wp:posOffset>
            </wp:positionV>
            <wp:extent cx="8255"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7028180</wp:posOffset>
            </wp:positionH>
            <wp:positionV relativeFrom="paragraph">
              <wp:posOffset>-7620</wp:posOffset>
            </wp:positionV>
            <wp:extent cx="8255" cy="825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7045325</wp:posOffset>
            </wp:positionH>
            <wp:positionV relativeFrom="paragraph">
              <wp:posOffset>-7620</wp:posOffset>
            </wp:positionV>
            <wp:extent cx="8255" cy="825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7062470</wp:posOffset>
            </wp:positionH>
            <wp:positionV relativeFrom="paragraph">
              <wp:posOffset>-7620</wp:posOffset>
            </wp:positionV>
            <wp:extent cx="8255"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7078980</wp:posOffset>
            </wp:positionH>
            <wp:positionV relativeFrom="paragraph">
              <wp:posOffset>-7620</wp:posOffset>
            </wp:positionV>
            <wp:extent cx="8255" cy="825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7096125</wp:posOffset>
            </wp:positionH>
            <wp:positionV relativeFrom="paragraph">
              <wp:posOffset>-7620</wp:posOffset>
            </wp:positionV>
            <wp:extent cx="8255" cy="825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7113270</wp:posOffset>
            </wp:positionH>
            <wp:positionV relativeFrom="paragraph">
              <wp:posOffset>-7620</wp:posOffset>
            </wp:positionV>
            <wp:extent cx="8255" cy="825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42" w:lineRule="exact"/>
        <w:rPr>
          <w:sz w:val="20"/>
          <w:szCs w:val="20"/>
          <w:color w:val="auto"/>
        </w:rPr>
      </w:pPr>
    </w:p>
    <w:p>
      <w:pPr>
        <w:jc w:val="both"/>
        <w:ind w:right="60"/>
        <w:spacing w:after="0" w:line="254" w:lineRule="auto"/>
        <w:rPr>
          <w:sz w:val="20"/>
          <w:szCs w:val="20"/>
          <w:color w:val="auto"/>
        </w:rPr>
      </w:pPr>
      <w:r>
        <w:rPr>
          <w:rFonts w:ascii="Arial" w:cs="Arial" w:eastAsia="Arial" w:hAnsi="Arial"/>
          <w:sz w:val="16"/>
          <w:szCs w:val="16"/>
          <w:color w:val="auto"/>
        </w:rPr>
        <w:t>Our employee benefit programs are offered and designed to be competitive and to provide reasonable security for employees. Welfare and retirement benefits are offered at essentially the same level to all U.S. salaried employees, including executive officers.</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color w:val="009A4B"/>
        </w:rPr>
        <w:t>Retirement Benefits</w:t>
      </w:r>
    </w:p>
    <w:p>
      <w:pPr>
        <w:spacing w:after="0" w:line="219" w:lineRule="exact"/>
        <w:rPr>
          <w:sz w:val="20"/>
          <w:szCs w:val="20"/>
          <w:color w:val="auto"/>
        </w:rPr>
      </w:pPr>
    </w:p>
    <w:p>
      <w:pPr>
        <w:ind w:right="280"/>
        <w:spacing w:after="0" w:line="245" w:lineRule="auto"/>
        <w:rPr>
          <w:sz w:val="20"/>
          <w:szCs w:val="20"/>
          <w:color w:val="auto"/>
        </w:rPr>
      </w:pPr>
      <w:r>
        <w:rPr>
          <w:rFonts w:ascii="Arial" w:cs="Arial" w:eastAsia="Arial" w:hAnsi="Arial"/>
          <w:sz w:val="16"/>
          <w:szCs w:val="16"/>
          <w:color w:val="auto"/>
        </w:rPr>
        <w:t>Executive officers participate in our generally available U.S. salaried retirement programs. The Company maintains qualified retirement programs for its salaried employees, including a defined benefit Pension Plan for Salaried Employees (the “Salaried Pension Plan”), which has been closed to new entrants since 2005, and a defined contribution profit-sharing plan, the Air Products and Chemicals, Inc. Retirement Savings Plan (the “RSP”). The Company also maintains a nonqualified pension plan, which has been closed to new entrants since August 2014, and a nonqualified deferred compensation plan in which certain executive officers and other eligible employees participate. The plans are discussed in more detail below in the narrative accompanying the Pension Benefits table and the Nonqualified Deferred Compensation table.</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009A4B"/>
        </w:rPr>
        <w:t>Welfare Benefits</w:t>
      </w:r>
    </w:p>
    <w:p>
      <w:pPr>
        <w:spacing w:after="0" w:line="219" w:lineRule="exact"/>
        <w:rPr>
          <w:sz w:val="20"/>
          <w:szCs w:val="20"/>
          <w:color w:val="auto"/>
        </w:rPr>
      </w:pPr>
    </w:p>
    <w:p>
      <w:pPr>
        <w:ind w:right="760"/>
        <w:spacing w:after="0" w:line="254" w:lineRule="auto"/>
        <w:rPr>
          <w:sz w:val="20"/>
          <w:szCs w:val="20"/>
          <w:color w:val="auto"/>
        </w:rPr>
      </w:pPr>
      <w:r>
        <w:rPr>
          <w:rFonts w:ascii="Arial" w:cs="Arial" w:eastAsia="Arial" w:hAnsi="Arial"/>
          <w:sz w:val="16"/>
          <w:szCs w:val="16"/>
          <w:color w:val="auto"/>
        </w:rPr>
        <w:t>We provide medical and dental coverage, life insurance and disability insurance to executive officers under the same programs offered to all salaried employees. All participating employees pay a portion of the cost of these programs.</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color w:val="009A4B"/>
        </w:rPr>
        <w:t>Severance and Change in Control Arrangements</w:t>
      </w:r>
    </w:p>
    <w:p>
      <w:pPr>
        <w:spacing w:after="0" w:line="219" w:lineRule="exact"/>
        <w:rPr>
          <w:sz w:val="20"/>
          <w:szCs w:val="20"/>
          <w:color w:val="auto"/>
        </w:rPr>
      </w:pPr>
    </w:p>
    <w:p>
      <w:pPr>
        <w:jc w:val="both"/>
        <w:ind w:right="520"/>
        <w:spacing w:after="0" w:line="248" w:lineRule="auto"/>
        <w:rPr>
          <w:sz w:val="20"/>
          <w:szCs w:val="20"/>
          <w:color w:val="auto"/>
        </w:rPr>
      </w:pPr>
      <w:r>
        <w:rPr>
          <w:rFonts w:ascii="Arial" w:cs="Arial" w:eastAsia="Arial" w:hAnsi="Arial"/>
          <w:sz w:val="16"/>
          <w:szCs w:val="16"/>
          <w:color w:val="auto"/>
        </w:rPr>
        <w:t>Executive officer severance and change in control arrangements are provided to support major corporate and management transitions. The Committee believes these arrangements provide benefit to the Company and its shareholders. The Committee periodically reviews these arrangements in depth for market competitiveness and appropriateness for the Company’s business.</w:t>
      </w:r>
    </w:p>
    <w:p>
      <w:pPr>
        <w:spacing w:after="0" w:line="13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7155180" cy="209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3"/>
          <w:szCs w:val="23"/>
          <w:color w:val="auto"/>
        </w:rPr>
        <w:t>Severance</w:t>
      </w:r>
    </w:p>
    <w:p>
      <w:pPr>
        <w:spacing w:after="0" w:line="226" w:lineRule="exact"/>
        <w:rPr>
          <w:sz w:val="20"/>
          <w:szCs w:val="20"/>
          <w:color w:val="auto"/>
        </w:rPr>
      </w:pPr>
    </w:p>
    <w:p>
      <w:pPr>
        <w:ind w:right="120"/>
        <w:spacing w:after="0" w:line="245" w:lineRule="auto"/>
        <w:rPr>
          <w:sz w:val="20"/>
          <w:szCs w:val="20"/>
          <w:color w:val="auto"/>
        </w:rPr>
      </w:pPr>
      <w:r>
        <w:rPr>
          <w:rFonts w:ascii="Arial" w:cs="Arial" w:eastAsia="Arial" w:hAnsi="Arial"/>
          <w:sz w:val="16"/>
          <w:szCs w:val="16"/>
          <w:color w:val="auto"/>
        </w:rPr>
        <w:t>All executive officers participate in the Executive Separation Program. This program is intended to facilitate changes in the leadership team by establishing terms for the separation of an executive officer in advance, allowing for a smooth transition of responsibilities when it is in the best interests of the Company. The program provides severance benefits and vesting of certain long-term incentives upon involuntary termination other than for “cause” or voluntary termination for “good reason” (as each term is defined in the applicable severance agreement) in exchange for certain post-employment restrictions designed to protect the Company. Details of the program are provided beginning on page 55.</w:t>
      </w:r>
    </w:p>
    <w:p>
      <w:pPr>
        <w:spacing w:after="0" w:line="208" w:lineRule="exact"/>
        <w:rPr>
          <w:sz w:val="20"/>
          <w:szCs w:val="20"/>
          <w:color w:val="auto"/>
        </w:rPr>
      </w:pPr>
    </w:p>
    <w:p>
      <w:pPr>
        <w:spacing w:after="0"/>
        <w:rPr>
          <w:sz w:val="20"/>
          <w:szCs w:val="20"/>
          <w:color w:val="auto"/>
        </w:rPr>
      </w:pPr>
      <w:r>
        <w:rPr>
          <w:rFonts w:ascii="Arial" w:cs="Arial" w:eastAsia="Arial" w:hAnsi="Arial"/>
          <w:sz w:val="23"/>
          <w:szCs w:val="23"/>
          <w:color w:val="auto"/>
        </w:rPr>
        <w:t>Change in Control Arrangements</w:t>
      </w:r>
    </w:p>
    <w:p>
      <w:pPr>
        <w:spacing w:after="0" w:line="226"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auto"/>
        </w:rPr>
        <w:t>To enable the management team to negotiate effectively for shareholders without concern for their own future in the event of any actual or threatened change in control of the Company, the Company has entered individual change in control severance agreements for each of the executive officers. Consistent with compensation governance best practices, our change in control agreements are “double-trigger”, which means that each executive officer will receive specific rights and benefits if, following a change in control, his or her employment is terminated by the Company without “cause” or the executive officer terminates his or her employment for “good reason” (as each term is defined in the applicable severance agreement) in exchange for certain post-employment restrictions designed to protect the Company. Details of these agreements are described on pages 58-59.</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009A4B"/>
        </w:rPr>
        <w:t>Perquisites</w:t>
      </w:r>
    </w:p>
    <w:p>
      <w:pPr>
        <w:spacing w:after="0" w:line="219"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The Committee has approved Mr. Ghasemi’s and Dr. Serhan’s use of corporate aircraft for personal travel in order to mitigate security concerns, preserve confidentiality and maximize the time they are able to spend on Company business. The Committee also has approved Mr. Ghasemi’s personal use of a Company car and driver and approved the use of a car and driver by Mr. Ghasemi’s spouse on rare occasions where security is a concern. Mr. Ghasemi uses commuting time for performing his responsibilities to the Company. Mr. Ghasemi is responsible for any taxes on his personal use and his spouse’s use of corporate aircraft and cars, and Dr. Serhan is responsible for any taxes on his personal use of corporate aircraft. Dr. Serhan is on an international business assignment. In connection with this assignment, Dr. Serhan receives certain allowances, including a Company-provided apartment and utilities, a Company-provided car and a daily living allowance. The Committee believes the benefits of security, confidentiality and efficiency achieved by these arrangements outweigh the expense to the Company.</w:t>
      </w:r>
    </w:p>
    <w:p>
      <w:pPr>
        <w:spacing w:after="0" w:line="93" w:lineRule="exact"/>
        <w:rPr>
          <w:sz w:val="20"/>
          <w:szCs w:val="20"/>
          <w:color w:val="auto"/>
        </w:rPr>
      </w:pPr>
    </w:p>
    <w:p>
      <w:pPr>
        <w:spacing w:after="0"/>
        <w:rPr>
          <w:sz w:val="20"/>
          <w:szCs w:val="20"/>
          <w:color w:val="auto"/>
        </w:rPr>
      </w:pPr>
      <w:r>
        <w:rPr>
          <w:sz w:val="1"/>
          <w:szCs w:val="1"/>
          <w:color w:val="auto"/>
        </w:rPr>
        <w:drawing>
          <wp:inline distT="0" distB="0" distL="0" distR="0">
            <wp:extent cx="337820" cy="337820"/>
            <wp:effectExtent l="0" t="0" r="0" b="0"/>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337820" cy="337820"/>
                    </a:xfrm>
                    <a:prstGeom prst="rect">
                      <a:avLst/>
                    </a:prstGeom>
                    <a:noFill/>
                    <a:ln>
                      <a:noFill/>
                    </a:ln>
                  </pic:spPr>
                </pic:pic>
              </a:graphicData>
            </a:graphic>
          </wp:inline>
        </w:drawing>
      </w:r>
      <w:r>
        <w:rPr>
          <w:rFonts w:ascii="Arial" w:cs="Arial" w:eastAsia="Arial" w:hAnsi="Arial"/>
          <w:sz w:val="28"/>
          <w:szCs w:val="28"/>
          <w:color w:val="009844"/>
        </w:rPr>
        <w:t xml:space="preserve"> Executive Compensation Decision-Making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-7620</wp:posOffset>
            </wp:positionV>
            <wp:extent cx="8255" cy="82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452120</wp:posOffset>
            </wp:positionH>
            <wp:positionV relativeFrom="paragraph">
              <wp:posOffset>-7620</wp:posOffset>
            </wp:positionV>
            <wp:extent cx="8255" cy="825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469265</wp:posOffset>
            </wp:positionH>
            <wp:positionV relativeFrom="paragraph">
              <wp:posOffset>-7620</wp:posOffset>
            </wp:positionV>
            <wp:extent cx="8255" cy="825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485775</wp:posOffset>
            </wp:positionH>
            <wp:positionV relativeFrom="paragraph">
              <wp:posOffset>-7620</wp:posOffset>
            </wp:positionV>
            <wp:extent cx="8255" cy="82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502920</wp:posOffset>
            </wp:positionH>
            <wp:positionV relativeFrom="paragraph">
              <wp:posOffset>-7620</wp:posOffset>
            </wp:positionV>
            <wp:extent cx="8255" cy="825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520065</wp:posOffset>
            </wp:positionH>
            <wp:positionV relativeFrom="paragraph">
              <wp:posOffset>-7620</wp:posOffset>
            </wp:positionV>
            <wp:extent cx="8255" cy="825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-7620</wp:posOffset>
            </wp:positionV>
            <wp:extent cx="8255" cy="825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-7620</wp:posOffset>
            </wp:positionV>
            <wp:extent cx="8255" cy="825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-7620</wp:posOffset>
            </wp:positionV>
            <wp:extent cx="8255" cy="825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-7620</wp:posOffset>
            </wp:positionV>
            <wp:extent cx="8255" cy="825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-7620</wp:posOffset>
            </wp:positionV>
            <wp:extent cx="8255" cy="825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621030</wp:posOffset>
            </wp:positionH>
            <wp:positionV relativeFrom="paragraph">
              <wp:posOffset>-7620</wp:posOffset>
            </wp:positionV>
            <wp:extent cx="8255" cy="825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638175</wp:posOffset>
            </wp:positionH>
            <wp:positionV relativeFrom="paragraph">
              <wp:posOffset>-7620</wp:posOffset>
            </wp:positionV>
            <wp:extent cx="8255" cy="825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-7620</wp:posOffset>
            </wp:positionV>
            <wp:extent cx="8255"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-7620</wp:posOffset>
            </wp:positionV>
            <wp:extent cx="8255"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-7620</wp:posOffset>
            </wp:positionV>
            <wp:extent cx="8255" cy="825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-7620</wp:posOffset>
            </wp:positionV>
            <wp:extent cx="8255" cy="825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722630</wp:posOffset>
            </wp:positionH>
            <wp:positionV relativeFrom="paragraph">
              <wp:posOffset>-7620</wp:posOffset>
            </wp:positionV>
            <wp:extent cx="8255" cy="825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739775</wp:posOffset>
            </wp:positionH>
            <wp:positionV relativeFrom="paragraph">
              <wp:posOffset>-7620</wp:posOffset>
            </wp:positionV>
            <wp:extent cx="8255" cy="82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-7620</wp:posOffset>
            </wp:positionV>
            <wp:extent cx="8255" cy="825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773430</wp:posOffset>
            </wp:positionH>
            <wp:positionV relativeFrom="paragraph">
              <wp:posOffset>-7620</wp:posOffset>
            </wp:positionV>
            <wp:extent cx="8255" cy="825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789940</wp:posOffset>
            </wp:positionH>
            <wp:positionV relativeFrom="paragraph">
              <wp:posOffset>-7620</wp:posOffset>
            </wp:positionV>
            <wp:extent cx="8255" cy="825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-7620</wp:posOffset>
            </wp:positionV>
            <wp:extent cx="8255" cy="825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824230</wp:posOffset>
            </wp:positionH>
            <wp:positionV relativeFrom="paragraph">
              <wp:posOffset>-7620</wp:posOffset>
            </wp:positionV>
            <wp:extent cx="8255" cy="825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840740</wp:posOffset>
            </wp:positionH>
            <wp:positionV relativeFrom="paragraph">
              <wp:posOffset>-7620</wp:posOffset>
            </wp:positionV>
            <wp:extent cx="8255" cy="825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857885</wp:posOffset>
            </wp:positionH>
            <wp:positionV relativeFrom="paragraph">
              <wp:posOffset>-7620</wp:posOffset>
            </wp:positionV>
            <wp:extent cx="8255"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875030</wp:posOffset>
            </wp:positionH>
            <wp:positionV relativeFrom="paragraph">
              <wp:posOffset>-7620</wp:posOffset>
            </wp:positionV>
            <wp:extent cx="8255" cy="825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891540</wp:posOffset>
            </wp:positionH>
            <wp:positionV relativeFrom="paragraph">
              <wp:posOffset>-7620</wp:posOffset>
            </wp:positionV>
            <wp:extent cx="8255" cy="825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-7620</wp:posOffset>
            </wp:positionV>
            <wp:extent cx="8255" cy="82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925195</wp:posOffset>
            </wp:positionH>
            <wp:positionV relativeFrom="paragraph">
              <wp:posOffset>-7620</wp:posOffset>
            </wp:positionV>
            <wp:extent cx="8255" cy="825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942340</wp:posOffset>
            </wp:positionH>
            <wp:positionV relativeFrom="paragraph">
              <wp:posOffset>-7620</wp:posOffset>
            </wp:positionV>
            <wp:extent cx="8255" cy="825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-7620</wp:posOffset>
            </wp:positionV>
            <wp:extent cx="8255" cy="825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975995</wp:posOffset>
            </wp:positionH>
            <wp:positionV relativeFrom="paragraph">
              <wp:posOffset>-7620</wp:posOffset>
            </wp:positionV>
            <wp:extent cx="8255"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993140</wp:posOffset>
            </wp:positionH>
            <wp:positionV relativeFrom="paragraph">
              <wp:posOffset>-7620</wp:posOffset>
            </wp:positionV>
            <wp:extent cx="8255" cy="825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1010285</wp:posOffset>
            </wp:positionH>
            <wp:positionV relativeFrom="paragraph">
              <wp:posOffset>-7620</wp:posOffset>
            </wp:positionV>
            <wp:extent cx="8255" cy="825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1026795</wp:posOffset>
            </wp:positionH>
            <wp:positionV relativeFrom="paragraph">
              <wp:posOffset>-7620</wp:posOffset>
            </wp:positionV>
            <wp:extent cx="8255" cy="825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1043940</wp:posOffset>
            </wp:positionH>
            <wp:positionV relativeFrom="paragraph">
              <wp:posOffset>-7620</wp:posOffset>
            </wp:positionV>
            <wp:extent cx="8255" cy="825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1060450</wp:posOffset>
            </wp:positionH>
            <wp:positionV relativeFrom="paragraph">
              <wp:posOffset>-7620</wp:posOffset>
            </wp:positionV>
            <wp:extent cx="8255" cy="825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-7620</wp:posOffset>
            </wp:positionV>
            <wp:extent cx="8255"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-7620</wp:posOffset>
            </wp:positionV>
            <wp:extent cx="8255" cy="825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-7620</wp:posOffset>
            </wp:positionV>
            <wp:extent cx="8255" cy="825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-7620</wp:posOffset>
            </wp:positionV>
            <wp:extent cx="8255" cy="825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-7620</wp:posOffset>
            </wp:positionV>
            <wp:extent cx="8255" cy="825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1162050</wp:posOffset>
            </wp:positionH>
            <wp:positionV relativeFrom="paragraph">
              <wp:posOffset>-7620</wp:posOffset>
            </wp:positionV>
            <wp:extent cx="8255"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1179195</wp:posOffset>
            </wp:positionH>
            <wp:positionV relativeFrom="paragraph">
              <wp:posOffset>-7620</wp:posOffset>
            </wp:positionV>
            <wp:extent cx="8255" cy="825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1195705</wp:posOffset>
            </wp:positionH>
            <wp:positionV relativeFrom="paragraph">
              <wp:posOffset>-7620</wp:posOffset>
            </wp:positionV>
            <wp:extent cx="8255" cy="825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1212850</wp:posOffset>
            </wp:positionH>
            <wp:positionV relativeFrom="paragraph">
              <wp:posOffset>-7620</wp:posOffset>
            </wp:positionV>
            <wp:extent cx="8255" cy="825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1229995</wp:posOffset>
            </wp:positionH>
            <wp:positionV relativeFrom="paragraph">
              <wp:posOffset>-7620</wp:posOffset>
            </wp:positionV>
            <wp:extent cx="8255" cy="825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-7620</wp:posOffset>
            </wp:positionV>
            <wp:extent cx="8255" cy="825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1263650</wp:posOffset>
            </wp:positionH>
            <wp:positionV relativeFrom="paragraph">
              <wp:posOffset>-7620</wp:posOffset>
            </wp:positionV>
            <wp:extent cx="8255" cy="825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-7620</wp:posOffset>
            </wp:positionV>
            <wp:extent cx="8255" cy="825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-7620</wp:posOffset>
            </wp:positionV>
            <wp:extent cx="8255" cy="825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1314450</wp:posOffset>
            </wp:positionH>
            <wp:positionV relativeFrom="paragraph">
              <wp:posOffset>-7620</wp:posOffset>
            </wp:positionV>
            <wp:extent cx="8255" cy="825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-7620</wp:posOffset>
            </wp:positionV>
            <wp:extent cx="8255" cy="825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1348105</wp:posOffset>
            </wp:positionH>
            <wp:positionV relativeFrom="paragraph">
              <wp:posOffset>-7620</wp:posOffset>
            </wp:positionV>
            <wp:extent cx="8255" cy="825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1365250</wp:posOffset>
            </wp:positionH>
            <wp:positionV relativeFrom="paragraph">
              <wp:posOffset>-7620</wp:posOffset>
            </wp:positionV>
            <wp:extent cx="8255" cy="825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1381760</wp:posOffset>
            </wp:positionH>
            <wp:positionV relativeFrom="paragraph">
              <wp:posOffset>-7620</wp:posOffset>
            </wp:positionV>
            <wp:extent cx="8255" cy="825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1398905</wp:posOffset>
            </wp:positionH>
            <wp:positionV relativeFrom="paragraph">
              <wp:posOffset>-7620</wp:posOffset>
            </wp:positionV>
            <wp:extent cx="8255" cy="825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1416050</wp:posOffset>
            </wp:positionH>
            <wp:positionV relativeFrom="paragraph">
              <wp:posOffset>-7620</wp:posOffset>
            </wp:positionV>
            <wp:extent cx="8255" cy="825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1432560</wp:posOffset>
            </wp:positionH>
            <wp:positionV relativeFrom="paragraph">
              <wp:posOffset>-7620</wp:posOffset>
            </wp:positionV>
            <wp:extent cx="8255" cy="825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1449705</wp:posOffset>
            </wp:positionH>
            <wp:positionV relativeFrom="paragraph">
              <wp:posOffset>-7620</wp:posOffset>
            </wp:positionV>
            <wp:extent cx="8255" cy="825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1466215</wp:posOffset>
            </wp:positionH>
            <wp:positionV relativeFrom="paragraph">
              <wp:posOffset>-7620</wp:posOffset>
            </wp:positionV>
            <wp:extent cx="8255" cy="825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1483360</wp:posOffset>
            </wp:positionH>
            <wp:positionV relativeFrom="paragraph">
              <wp:posOffset>-7620</wp:posOffset>
            </wp:positionV>
            <wp:extent cx="8255" cy="825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1500505</wp:posOffset>
            </wp:positionH>
            <wp:positionV relativeFrom="paragraph">
              <wp:posOffset>-7620</wp:posOffset>
            </wp:positionV>
            <wp:extent cx="8255" cy="825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1517015</wp:posOffset>
            </wp:positionH>
            <wp:positionV relativeFrom="paragraph">
              <wp:posOffset>-7620</wp:posOffset>
            </wp:positionV>
            <wp:extent cx="8255" cy="825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1534160</wp:posOffset>
            </wp:positionH>
            <wp:positionV relativeFrom="paragraph">
              <wp:posOffset>-7620</wp:posOffset>
            </wp:positionV>
            <wp:extent cx="8255" cy="825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1551305</wp:posOffset>
            </wp:positionH>
            <wp:positionV relativeFrom="paragraph">
              <wp:posOffset>-7620</wp:posOffset>
            </wp:positionV>
            <wp:extent cx="8255" cy="825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1567815</wp:posOffset>
            </wp:positionH>
            <wp:positionV relativeFrom="paragraph">
              <wp:posOffset>-7620</wp:posOffset>
            </wp:positionV>
            <wp:extent cx="8255" cy="825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1584960</wp:posOffset>
            </wp:positionH>
            <wp:positionV relativeFrom="paragraph">
              <wp:posOffset>-7620</wp:posOffset>
            </wp:positionV>
            <wp:extent cx="8255" cy="825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1601470</wp:posOffset>
            </wp:positionH>
            <wp:positionV relativeFrom="paragraph">
              <wp:posOffset>-7620</wp:posOffset>
            </wp:positionV>
            <wp:extent cx="8255" cy="825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1618615</wp:posOffset>
            </wp:positionH>
            <wp:positionV relativeFrom="paragraph">
              <wp:posOffset>-7620</wp:posOffset>
            </wp:positionV>
            <wp:extent cx="8255" cy="825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1635760</wp:posOffset>
            </wp:positionH>
            <wp:positionV relativeFrom="paragraph">
              <wp:posOffset>-7620</wp:posOffset>
            </wp:positionV>
            <wp:extent cx="8255" cy="825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1652270</wp:posOffset>
            </wp:positionH>
            <wp:positionV relativeFrom="paragraph">
              <wp:posOffset>-7620</wp:posOffset>
            </wp:positionV>
            <wp:extent cx="8255" cy="825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1669415</wp:posOffset>
            </wp:positionH>
            <wp:positionV relativeFrom="paragraph">
              <wp:posOffset>-7620</wp:posOffset>
            </wp:positionV>
            <wp:extent cx="8255" cy="825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-7620</wp:posOffset>
            </wp:positionV>
            <wp:extent cx="8255" cy="825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-7620</wp:posOffset>
            </wp:positionV>
            <wp:extent cx="8255" cy="825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-7620</wp:posOffset>
            </wp:positionV>
            <wp:extent cx="8255" cy="825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-7620</wp:posOffset>
            </wp:positionV>
            <wp:extent cx="8255" cy="825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-7620</wp:posOffset>
            </wp:positionV>
            <wp:extent cx="8255" cy="825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-7620</wp:posOffset>
            </wp:positionV>
            <wp:extent cx="8255" cy="825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-7620</wp:posOffset>
            </wp:positionV>
            <wp:extent cx="8255" cy="825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1804670</wp:posOffset>
            </wp:positionH>
            <wp:positionV relativeFrom="paragraph">
              <wp:posOffset>-7620</wp:posOffset>
            </wp:positionV>
            <wp:extent cx="8255" cy="825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-7620</wp:posOffset>
            </wp:positionV>
            <wp:extent cx="8255" cy="825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-7620</wp:posOffset>
            </wp:positionV>
            <wp:extent cx="8255" cy="825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-7620</wp:posOffset>
            </wp:positionV>
            <wp:extent cx="8255" cy="825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1871980</wp:posOffset>
            </wp:positionH>
            <wp:positionV relativeFrom="paragraph">
              <wp:posOffset>-7620</wp:posOffset>
            </wp:positionV>
            <wp:extent cx="8255" cy="825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1889125</wp:posOffset>
            </wp:positionH>
            <wp:positionV relativeFrom="paragraph">
              <wp:posOffset>-7620</wp:posOffset>
            </wp:positionV>
            <wp:extent cx="8255" cy="825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1906270</wp:posOffset>
            </wp:positionH>
            <wp:positionV relativeFrom="paragraph">
              <wp:posOffset>-7620</wp:posOffset>
            </wp:positionV>
            <wp:extent cx="8255" cy="825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1922780</wp:posOffset>
            </wp:positionH>
            <wp:positionV relativeFrom="paragraph">
              <wp:posOffset>-7620</wp:posOffset>
            </wp:positionV>
            <wp:extent cx="8255" cy="825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1939925</wp:posOffset>
            </wp:positionH>
            <wp:positionV relativeFrom="paragraph">
              <wp:posOffset>-7620</wp:posOffset>
            </wp:positionV>
            <wp:extent cx="8255" cy="825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1956435</wp:posOffset>
            </wp:positionH>
            <wp:positionV relativeFrom="paragraph">
              <wp:posOffset>-7620</wp:posOffset>
            </wp:positionV>
            <wp:extent cx="8255" cy="825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-7620</wp:posOffset>
            </wp:positionV>
            <wp:extent cx="8255" cy="825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1990725</wp:posOffset>
            </wp:positionH>
            <wp:positionV relativeFrom="paragraph">
              <wp:posOffset>-7620</wp:posOffset>
            </wp:positionV>
            <wp:extent cx="8255" cy="825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2007235</wp:posOffset>
            </wp:positionH>
            <wp:positionV relativeFrom="paragraph">
              <wp:posOffset>-7620</wp:posOffset>
            </wp:positionV>
            <wp:extent cx="8255" cy="825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2024380</wp:posOffset>
            </wp:positionH>
            <wp:positionV relativeFrom="paragraph">
              <wp:posOffset>-7620</wp:posOffset>
            </wp:positionV>
            <wp:extent cx="8255" cy="825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2041525</wp:posOffset>
            </wp:positionH>
            <wp:positionV relativeFrom="paragraph">
              <wp:posOffset>-7620</wp:posOffset>
            </wp:positionV>
            <wp:extent cx="8255" cy="825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2058035</wp:posOffset>
            </wp:positionH>
            <wp:positionV relativeFrom="paragraph">
              <wp:posOffset>-7620</wp:posOffset>
            </wp:positionV>
            <wp:extent cx="8255" cy="825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2075180</wp:posOffset>
            </wp:positionH>
            <wp:positionV relativeFrom="paragraph">
              <wp:posOffset>-7620</wp:posOffset>
            </wp:positionV>
            <wp:extent cx="8255" cy="825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2091690</wp:posOffset>
            </wp:positionH>
            <wp:positionV relativeFrom="paragraph">
              <wp:posOffset>-7620</wp:posOffset>
            </wp:positionV>
            <wp:extent cx="8255" cy="825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2108835</wp:posOffset>
            </wp:positionH>
            <wp:positionV relativeFrom="paragraph">
              <wp:posOffset>-7620</wp:posOffset>
            </wp:positionV>
            <wp:extent cx="8255" cy="825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2125980</wp:posOffset>
            </wp:positionH>
            <wp:positionV relativeFrom="paragraph">
              <wp:posOffset>-7620</wp:posOffset>
            </wp:positionV>
            <wp:extent cx="8255" cy="825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2142490</wp:posOffset>
            </wp:positionH>
            <wp:positionV relativeFrom="paragraph">
              <wp:posOffset>-7620</wp:posOffset>
            </wp:positionV>
            <wp:extent cx="8255" cy="825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2159635</wp:posOffset>
            </wp:positionH>
            <wp:positionV relativeFrom="paragraph">
              <wp:posOffset>-7620</wp:posOffset>
            </wp:positionV>
            <wp:extent cx="8255" cy="825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2176780</wp:posOffset>
            </wp:positionH>
            <wp:positionV relativeFrom="paragraph">
              <wp:posOffset>-7620</wp:posOffset>
            </wp:positionV>
            <wp:extent cx="8255" cy="825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2193290</wp:posOffset>
            </wp:positionH>
            <wp:positionV relativeFrom="paragraph">
              <wp:posOffset>-7620</wp:posOffset>
            </wp:positionV>
            <wp:extent cx="8255" cy="825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2210435</wp:posOffset>
            </wp:positionH>
            <wp:positionV relativeFrom="paragraph">
              <wp:posOffset>-7620</wp:posOffset>
            </wp:positionV>
            <wp:extent cx="8255" cy="825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2226945</wp:posOffset>
            </wp:positionH>
            <wp:positionV relativeFrom="paragraph">
              <wp:posOffset>-7620</wp:posOffset>
            </wp:positionV>
            <wp:extent cx="8255" cy="825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-7620</wp:posOffset>
            </wp:positionV>
            <wp:extent cx="8255" cy="825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2261235</wp:posOffset>
            </wp:positionH>
            <wp:positionV relativeFrom="paragraph">
              <wp:posOffset>-7620</wp:posOffset>
            </wp:positionV>
            <wp:extent cx="8255" cy="825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-7620</wp:posOffset>
            </wp:positionV>
            <wp:extent cx="8255" cy="825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2294890</wp:posOffset>
            </wp:positionH>
            <wp:positionV relativeFrom="paragraph">
              <wp:posOffset>-7620</wp:posOffset>
            </wp:positionV>
            <wp:extent cx="8255" cy="825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2312035</wp:posOffset>
            </wp:positionH>
            <wp:positionV relativeFrom="paragraph">
              <wp:posOffset>-7620</wp:posOffset>
            </wp:positionV>
            <wp:extent cx="8255" cy="825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-7620</wp:posOffset>
            </wp:positionV>
            <wp:extent cx="8255" cy="825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-7620</wp:posOffset>
            </wp:positionV>
            <wp:extent cx="8255" cy="825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-7620</wp:posOffset>
            </wp:positionV>
            <wp:extent cx="8255" cy="825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-7620</wp:posOffset>
            </wp:positionV>
            <wp:extent cx="8255" cy="825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-7620</wp:posOffset>
            </wp:positionV>
            <wp:extent cx="8255" cy="825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-7620</wp:posOffset>
            </wp:positionV>
            <wp:extent cx="8255" cy="825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-7620</wp:posOffset>
            </wp:positionV>
            <wp:extent cx="8255" cy="825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-7620</wp:posOffset>
            </wp:positionV>
            <wp:extent cx="8255" cy="825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-7620</wp:posOffset>
            </wp:positionV>
            <wp:extent cx="8255" cy="825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-7620</wp:posOffset>
            </wp:positionV>
            <wp:extent cx="8255" cy="825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-7620</wp:posOffset>
            </wp:positionV>
            <wp:extent cx="8255" cy="825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2514600</wp:posOffset>
            </wp:positionH>
            <wp:positionV relativeFrom="paragraph">
              <wp:posOffset>-7620</wp:posOffset>
            </wp:positionV>
            <wp:extent cx="8255" cy="825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2531745</wp:posOffset>
            </wp:positionH>
            <wp:positionV relativeFrom="paragraph">
              <wp:posOffset>-7620</wp:posOffset>
            </wp:positionV>
            <wp:extent cx="8255" cy="825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-7620</wp:posOffset>
            </wp:positionV>
            <wp:extent cx="8255" cy="825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2565400</wp:posOffset>
            </wp:positionH>
            <wp:positionV relativeFrom="paragraph">
              <wp:posOffset>-7620</wp:posOffset>
            </wp:positionV>
            <wp:extent cx="8255" cy="825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2582545</wp:posOffset>
            </wp:positionH>
            <wp:positionV relativeFrom="paragraph">
              <wp:posOffset>-7620</wp:posOffset>
            </wp:positionV>
            <wp:extent cx="8255" cy="825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2599055</wp:posOffset>
            </wp:positionH>
            <wp:positionV relativeFrom="paragraph">
              <wp:posOffset>-7620</wp:posOffset>
            </wp:positionV>
            <wp:extent cx="8255" cy="825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2616200</wp:posOffset>
            </wp:positionH>
            <wp:positionV relativeFrom="paragraph">
              <wp:posOffset>-7620</wp:posOffset>
            </wp:positionV>
            <wp:extent cx="8255" cy="825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2632710</wp:posOffset>
            </wp:positionH>
            <wp:positionV relativeFrom="paragraph">
              <wp:posOffset>-7620</wp:posOffset>
            </wp:positionV>
            <wp:extent cx="8255" cy="825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2649855</wp:posOffset>
            </wp:positionH>
            <wp:positionV relativeFrom="paragraph">
              <wp:posOffset>-7620</wp:posOffset>
            </wp:positionV>
            <wp:extent cx="8255" cy="825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2667000</wp:posOffset>
            </wp:positionH>
            <wp:positionV relativeFrom="paragraph">
              <wp:posOffset>-7620</wp:posOffset>
            </wp:positionV>
            <wp:extent cx="8255" cy="825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2683510</wp:posOffset>
            </wp:positionH>
            <wp:positionV relativeFrom="paragraph">
              <wp:posOffset>-7620</wp:posOffset>
            </wp:positionV>
            <wp:extent cx="8255" cy="825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2700655</wp:posOffset>
            </wp:positionH>
            <wp:positionV relativeFrom="paragraph">
              <wp:posOffset>-7620</wp:posOffset>
            </wp:positionV>
            <wp:extent cx="8255" cy="825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2717800</wp:posOffset>
            </wp:positionH>
            <wp:positionV relativeFrom="paragraph">
              <wp:posOffset>-7620</wp:posOffset>
            </wp:positionV>
            <wp:extent cx="8255" cy="825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2734310</wp:posOffset>
            </wp:positionH>
            <wp:positionV relativeFrom="paragraph">
              <wp:posOffset>-7620</wp:posOffset>
            </wp:positionV>
            <wp:extent cx="8255" cy="825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2751455</wp:posOffset>
            </wp:positionH>
            <wp:positionV relativeFrom="paragraph">
              <wp:posOffset>-7620</wp:posOffset>
            </wp:positionV>
            <wp:extent cx="8255" cy="825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2767965</wp:posOffset>
            </wp:positionH>
            <wp:positionV relativeFrom="paragraph">
              <wp:posOffset>-7620</wp:posOffset>
            </wp:positionV>
            <wp:extent cx="8255" cy="825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2785110</wp:posOffset>
            </wp:positionH>
            <wp:positionV relativeFrom="paragraph">
              <wp:posOffset>-7620</wp:posOffset>
            </wp:positionV>
            <wp:extent cx="8255" cy="825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2802255</wp:posOffset>
            </wp:positionH>
            <wp:positionV relativeFrom="paragraph">
              <wp:posOffset>-7620</wp:posOffset>
            </wp:positionV>
            <wp:extent cx="8255" cy="825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2818765</wp:posOffset>
            </wp:positionH>
            <wp:positionV relativeFrom="paragraph">
              <wp:posOffset>-7620</wp:posOffset>
            </wp:positionV>
            <wp:extent cx="8255" cy="825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2835910</wp:posOffset>
            </wp:positionH>
            <wp:positionV relativeFrom="paragraph">
              <wp:posOffset>-7620</wp:posOffset>
            </wp:positionV>
            <wp:extent cx="8255" cy="825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2853055</wp:posOffset>
            </wp:positionH>
            <wp:positionV relativeFrom="paragraph">
              <wp:posOffset>-7620</wp:posOffset>
            </wp:positionV>
            <wp:extent cx="8255" cy="8255"/>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-7620</wp:posOffset>
            </wp:positionV>
            <wp:extent cx="8255" cy="825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-7620</wp:posOffset>
            </wp:positionV>
            <wp:extent cx="8255" cy="825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2903220</wp:posOffset>
            </wp:positionH>
            <wp:positionV relativeFrom="paragraph">
              <wp:posOffset>-7620</wp:posOffset>
            </wp:positionV>
            <wp:extent cx="8255" cy="825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2920365</wp:posOffset>
            </wp:positionH>
            <wp:positionV relativeFrom="paragraph">
              <wp:posOffset>-7620</wp:posOffset>
            </wp:positionV>
            <wp:extent cx="8255" cy="825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2937510</wp:posOffset>
            </wp:positionH>
            <wp:positionV relativeFrom="paragraph">
              <wp:posOffset>-7620</wp:posOffset>
            </wp:positionV>
            <wp:extent cx="8255" cy="825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-7620</wp:posOffset>
            </wp:positionV>
            <wp:extent cx="8255" cy="825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-7620</wp:posOffset>
            </wp:positionV>
            <wp:extent cx="8255" cy="825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-7620</wp:posOffset>
            </wp:positionV>
            <wp:extent cx="8255" cy="825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-7620</wp:posOffset>
            </wp:positionV>
            <wp:extent cx="8255" cy="8255"/>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-7620</wp:posOffset>
            </wp:positionV>
            <wp:extent cx="8255" cy="825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3038475</wp:posOffset>
            </wp:positionH>
            <wp:positionV relativeFrom="paragraph">
              <wp:posOffset>-7620</wp:posOffset>
            </wp:positionV>
            <wp:extent cx="8255" cy="825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3055620</wp:posOffset>
            </wp:positionH>
            <wp:positionV relativeFrom="paragraph">
              <wp:posOffset>-7620</wp:posOffset>
            </wp:positionV>
            <wp:extent cx="8255" cy="825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3072765</wp:posOffset>
            </wp:positionH>
            <wp:positionV relativeFrom="paragraph">
              <wp:posOffset>-7620</wp:posOffset>
            </wp:positionV>
            <wp:extent cx="8255" cy="825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-7620</wp:posOffset>
            </wp:positionV>
            <wp:extent cx="8255" cy="825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3106420</wp:posOffset>
            </wp:positionH>
            <wp:positionV relativeFrom="paragraph">
              <wp:posOffset>-7620</wp:posOffset>
            </wp:positionV>
            <wp:extent cx="8255" cy="825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3122930</wp:posOffset>
            </wp:positionH>
            <wp:positionV relativeFrom="paragraph">
              <wp:posOffset>-7620</wp:posOffset>
            </wp:positionV>
            <wp:extent cx="8255" cy="825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-7620</wp:posOffset>
            </wp:positionV>
            <wp:extent cx="8255" cy="825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-7620</wp:posOffset>
            </wp:positionV>
            <wp:extent cx="8255" cy="825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3173730</wp:posOffset>
            </wp:positionH>
            <wp:positionV relativeFrom="paragraph">
              <wp:posOffset>-7620</wp:posOffset>
            </wp:positionV>
            <wp:extent cx="8255" cy="825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3190875</wp:posOffset>
            </wp:positionH>
            <wp:positionV relativeFrom="paragraph">
              <wp:posOffset>-7620</wp:posOffset>
            </wp:positionV>
            <wp:extent cx="8255" cy="825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3208020</wp:posOffset>
            </wp:positionH>
            <wp:positionV relativeFrom="paragraph">
              <wp:posOffset>-7620</wp:posOffset>
            </wp:positionV>
            <wp:extent cx="8255" cy="825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-7620</wp:posOffset>
            </wp:positionV>
            <wp:extent cx="8255" cy="825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3241675</wp:posOffset>
            </wp:positionH>
            <wp:positionV relativeFrom="paragraph">
              <wp:posOffset>-7620</wp:posOffset>
            </wp:positionV>
            <wp:extent cx="8255" cy="825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-7620</wp:posOffset>
            </wp:positionV>
            <wp:extent cx="8255" cy="825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3275330</wp:posOffset>
            </wp:positionH>
            <wp:positionV relativeFrom="paragraph">
              <wp:posOffset>-7620</wp:posOffset>
            </wp:positionV>
            <wp:extent cx="8255" cy="8255"/>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-7620</wp:posOffset>
            </wp:positionV>
            <wp:extent cx="8255" cy="825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-7620</wp:posOffset>
            </wp:positionV>
            <wp:extent cx="8255" cy="825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3326130</wp:posOffset>
            </wp:positionH>
            <wp:positionV relativeFrom="paragraph">
              <wp:posOffset>-7620</wp:posOffset>
            </wp:positionV>
            <wp:extent cx="8255" cy="825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3343275</wp:posOffset>
            </wp:positionH>
            <wp:positionV relativeFrom="paragraph">
              <wp:posOffset>-7620</wp:posOffset>
            </wp:positionV>
            <wp:extent cx="8255" cy="825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-7620</wp:posOffset>
            </wp:positionV>
            <wp:extent cx="8255" cy="8255"/>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3376930</wp:posOffset>
            </wp:positionH>
            <wp:positionV relativeFrom="paragraph">
              <wp:posOffset>-7620</wp:posOffset>
            </wp:positionV>
            <wp:extent cx="8255" cy="825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3393440</wp:posOffset>
            </wp:positionH>
            <wp:positionV relativeFrom="paragraph">
              <wp:posOffset>-7620</wp:posOffset>
            </wp:positionV>
            <wp:extent cx="8255" cy="825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-7620</wp:posOffset>
            </wp:positionV>
            <wp:extent cx="8255" cy="825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3427730</wp:posOffset>
            </wp:positionH>
            <wp:positionV relativeFrom="paragraph">
              <wp:posOffset>-7620</wp:posOffset>
            </wp:positionV>
            <wp:extent cx="8255" cy="825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3444240</wp:posOffset>
            </wp:positionH>
            <wp:positionV relativeFrom="paragraph">
              <wp:posOffset>-7620</wp:posOffset>
            </wp:positionV>
            <wp:extent cx="8255" cy="8255"/>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-7620</wp:posOffset>
            </wp:positionV>
            <wp:extent cx="8255" cy="825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3478530</wp:posOffset>
            </wp:positionH>
            <wp:positionV relativeFrom="paragraph">
              <wp:posOffset>-7620</wp:posOffset>
            </wp:positionV>
            <wp:extent cx="8255" cy="825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-7620</wp:posOffset>
            </wp:positionV>
            <wp:extent cx="8255" cy="8255"/>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-7620</wp:posOffset>
            </wp:positionV>
            <wp:extent cx="8255" cy="825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-7620</wp:posOffset>
            </wp:positionV>
            <wp:extent cx="8255" cy="825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-7620</wp:posOffset>
            </wp:positionV>
            <wp:extent cx="8255" cy="825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-7620</wp:posOffset>
            </wp:positionV>
            <wp:extent cx="8255" cy="825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-7620</wp:posOffset>
            </wp:positionV>
            <wp:extent cx="8255" cy="825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-7620</wp:posOffset>
            </wp:positionV>
            <wp:extent cx="8255" cy="825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-7620</wp:posOffset>
            </wp:positionV>
            <wp:extent cx="8255" cy="8255"/>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3630295</wp:posOffset>
            </wp:positionH>
            <wp:positionV relativeFrom="paragraph">
              <wp:posOffset>-7620</wp:posOffset>
            </wp:positionV>
            <wp:extent cx="8255" cy="825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3647440</wp:posOffset>
            </wp:positionH>
            <wp:positionV relativeFrom="paragraph">
              <wp:posOffset>-7620</wp:posOffset>
            </wp:positionV>
            <wp:extent cx="8255" cy="825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3663950</wp:posOffset>
            </wp:positionH>
            <wp:positionV relativeFrom="paragraph">
              <wp:posOffset>-7620</wp:posOffset>
            </wp:positionV>
            <wp:extent cx="8255" cy="825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3681095</wp:posOffset>
            </wp:positionH>
            <wp:positionV relativeFrom="paragraph">
              <wp:posOffset>-7620</wp:posOffset>
            </wp:positionV>
            <wp:extent cx="8255" cy="825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-7620</wp:posOffset>
            </wp:positionV>
            <wp:extent cx="8255" cy="825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3714750</wp:posOffset>
            </wp:positionH>
            <wp:positionV relativeFrom="paragraph">
              <wp:posOffset>-7620</wp:posOffset>
            </wp:positionV>
            <wp:extent cx="8255" cy="825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-7620</wp:posOffset>
            </wp:positionV>
            <wp:extent cx="8255" cy="825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-7620</wp:posOffset>
            </wp:positionV>
            <wp:extent cx="8255" cy="825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-7620</wp:posOffset>
            </wp:positionV>
            <wp:extent cx="8255" cy="8255"/>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-7620</wp:posOffset>
            </wp:positionV>
            <wp:extent cx="8255" cy="825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3799205</wp:posOffset>
            </wp:positionH>
            <wp:positionV relativeFrom="paragraph">
              <wp:posOffset>-7620</wp:posOffset>
            </wp:positionV>
            <wp:extent cx="8255" cy="825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3816350</wp:posOffset>
            </wp:positionH>
            <wp:positionV relativeFrom="paragraph">
              <wp:posOffset>-7620</wp:posOffset>
            </wp:positionV>
            <wp:extent cx="8255" cy="825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3833495</wp:posOffset>
            </wp:positionH>
            <wp:positionV relativeFrom="paragraph">
              <wp:posOffset>-7620</wp:posOffset>
            </wp:positionV>
            <wp:extent cx="8255" cy="825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3850005</wp:posOffset>
            </wp:positionH>
            <wp:positionV relativeFrom="paragraph">
              <wp:posOffset>-7620</wp:posOffset>
            </wp:positionV>
            <wp:extent cx="8255" cy="8255"/>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3867150</wp:posOffset>
            </wp:positionH>
            <wp:positionV relativeFrom="paragraph">
              <wp:posOffset>-7620</wp:posOffset>
            </wp:positionV>
            <wp:extent cx="8255" cy="825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3884295</wp:posOffset>
            </wp:positionH>
            <wp:positionV relativeFrom="paragraph">
              <wp:posOffset>-7620</wp:posOffset>
            </wp:positionV>
            <wp:extent cx="8255" cy="825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-7620</wp:posOffset>
            </wp:positionV>
            <wp:extent cx="8255" cy="825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-7620</wp:posOffset>
            </wp:positionV>
            <wp:extent cx="8255" cy="8255"/>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-7620</wp:posOffset>
            </wp:positionV>
            <wp:extent cx="8255" cy="825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3951605</wp:posOffset>
            </wp:positionH>
            <wp:positionV relativeFrom="paragraph">
              <wp:posOffset>-7620</wp:posOffset>
            </wp:positionV>
            <wp:extent cx="8255" cy="8255"/>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-7620</wp:posOffset>
            </wp:positionV>
            <wp:extent cx="8255" cy="825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3985260</wp:posOffset>
            </wp:positionH>
            <wp:positionV relativeFrom="paragraph">
              <wp:posOffset>-7620</wp:posOffset>
            </wp:positionV>
            <wp:extent cx="8255" cy="825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4002405</wp:posOffset>
            </wp:positionH>
            <wp:positionV relativeFrom="paragraph">
              <wp:posOffset>-7620</wp:posOffset>
            </wp:positionV>
            <wp:extent cx="8255" cy="825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4019550</wp:posOffset>
            </wp:positionH>
            <wp:positionV relativeFrom="paragraph">
              <wp:posOffset>-7620</wp:posOffset>
            </wp:positionV>
            <wp:extent cx="8255" cy="825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-7620</wp:posOffset>
            </wp:positionV>
            <wp:extent cx="8255" cy="825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-7620</wp:posOffset>
            </wp:positionV>
            <wp:extent cx="8255" cy="825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4069715</wp:posOffset>
            </wp:positionH>
            <wp:positionV relativeFrom="paragraph">
              <wp:posOffset>-7620</wp:posOffset>
            </wp:positionV>
            <wp:extent cx="8255" cy="825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4086860</wp:posOffset>
            </wp:positionH>
            <wp:positionV relativeFrom="paragraph">
              <wp:posOffset>-7620</wp:posOffset>
            </wp:positionV>
            <wp:extent cx="8255" cy="825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4104005</wp:posOffset>
            </wp:positionH>
            <wp:positionV relativeFrom="paragraph">
              <wp:posOffset>-7620</wp:posOffset>
            </wp:positionV>
            <wp:extent cx="8255" cy="825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4120515</wp:posOffset>
            </wp:positionH>
            <wp:positionV relativeFrom="paragraph">
              <wp:posOffset>-7620</wp:posOffset>
            </wp:positionV>
            <wp:extent cx="8255" cy="825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-7620</wp:posOffset>
            </wp:positionV>
            <wp:extent cx="8255" cy="825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4154805</wp:posOffset>
            </wp:positionH>
            <wp:positionV relativeFrom="paragraph">
              <wp:posOffset>-7620</wp:posOffset>
            </wp:positionV>
            <wp:extent cx="8255" cy="825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-7620</wp:posOffset>
            </wp:positionV>
            <wp:extent cx="8255" cy="825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8255" cy="825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-7620</wp:posOffset>
            </wp:positionV>
            <wp:extent cx="8255" cy="825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-7620</wp:posOffset>
            </wp:positionV>
            <wp:extent cx="8255" cy="825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-7620</wp:posOffset>
            </wp:positionV>
            <wp:extent cx="8255" cy="825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4255770</wp:posOffset>
            </wp:positionH>
            <wp:positionV relativeFrom="paragraph">
              <wp:posOffset>-7620</wp:posOffset>
            </wp:positionV>
            <wp:extent cx="8255" cy="825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4272915</wp:posOffset>
            </wp:positionH>
            <wp:positionV relativeFrom="paragraph">
              <wp:posOffset>-7620</wp:posOffset>
            </wp:positionV>
            <wp:extent cx="8255" cy="825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4289425</wp:posOffset>
            </wp:positionH>
            <wp:positionV relativeFrom="paragraph">
              <wp:posOffset>-7620</wp:posOffset>
            </wp:positionV>
            <wp:extent cx="8255" cy="825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4306570</wp:posOffset>
            </wp:positionH>
            <wp:positionV relativeFrom="paragraph">
              <wp:posOffset>-7620</wp:posOffset>
            </wp:positionV>
            <wp:extent cx="8255" cy="825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4323715</wp:posOffset>
            </wp:positionH>
            <wp:positionV relativeFrom="paragraph">
              <wp:posOffset>-7620</wp:posOffset>
            </wp:positionV>
            <wp:extent cx="8255" cy="825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-7620</wp:posOffset>
            </wp:positionV>
            <wp:extent cx="8255" cy="825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-7620</wp:posOffset>
            </wp:positionV>
            <wp:extent cx="8255" cy="825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-7620</wp:posOffset>
            </wp:positionV>
            <wp:extent cx="8255" cy="825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4391025</wp:posOffset>
            </wp:positionH>
            <wp:positionV relativeFrom="paragraph">
              <wp:posOffset>-7620</wp:posOffset>
            </wp:positionV>
            <wp:extent cx="8255" cy="825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4408170</wp:posOffset>
            </wp:positionH>
            <wp:positionV relativeFrom="paragraph">
              <wp:posOffset>-7620</wp:posOffset>
            </wp:positionV>
            <wp:extent cx="8255" cy="825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4424680</wp:posOffset>
            </wp:positionH>
            <wp:positionV relativeFrom="paragraph">
              <wp:posOffset>-7620</wp:posOffset>
            </wp:positionV>
            <wp:extent cx="8255" cy="825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-7620</wp:posOffset>
            </wp:positionV>
            <wp:extent cx="8255" cy="825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4458970</wp:posOffset>
            </wp:positionH>
            <wp:positionV relativeFrom="paragraph">
              <wp:posOffset>-7620</wp:posOffset>
            </wp:positionV>
            <wp:extent cx="8255" cy="825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4475480</wp:posOffset>
            </wp:positionH>
            <wp:positionV relativeFrom="paragraph">
              <wp:posOffset>-7620</wp:posOffset>
            </wp:positionV>
            <wp:extent cx="8255" cy="8255"/>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4492625</wp:posOffset>
            </wp:positionH>
            <wp:positionV relativeFrom="paragraph">
              <wp:posOffset>-7620</wp:posOffset>
            </wp:positionV>
            <wp:extent cx="8255" cy="825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-7620</wp:posOffset>
            </wp:positionV>
            <wp:extent cx="8255" cy="825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4526280</wp:posOffset>
            </wp:positionH>
            <wp:positionV relativeFrom="paragraph">
              <wp:posOffset>-7620</wp:posOffset>
            </wp:positionV>
            <wp:extent cx="8255" cy="825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4543425</wp:posOffset>
            </wp:positionH>
            <wp:positionV relativeFrom="paragraph">
              <wp:posOffset>-7620</wp:posOffset>
            </wp:positionV>
            <wp:extent cx="8255" cy="8255"/>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-7620</wp:posOffset>
            </wp:positionV>
            <wp:extent cx="8255" cy="8255"/>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-7620</wp:posOffset>
            </wp:positionV>
            <wp:extent cx="8255" cy="8255"/>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-7620</wp:posOffset>
            </wp:positionV>
            <wp:extent cx="8255" cy="8255"/>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4610735</wp:posOffset>
            </wp:positionH>
            <wp:positionV relativeFrom="paragraph">
              <wp:posOffset>-7620</wp:posOffset>
            </wp:positionV>
            <wp:extent cx="8255" cy="825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4627880</wp:posOffset>
            </wp:positionH>
            <wp:positionV relativeFrom="paragraph">
              <wp:posOffset>-7620</wp:posOffset>
            </wp:positionV>
            <wp:extent cx="8255" cy="8255"/>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4645025</wp:posOffset>
            </wp:positionH>
            <wp:positionV relativeFrom="paragraph">
              <wp:posOffset>-7620</wp:posOffset>
            </wp:positionV>
            <wp:extent cx="8255" cy="8255"/>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-7620</wp:posOffset>
            </wp:positionV>
            <wp:extent cx="8255" cy="825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-7620</wp:posOffset>
            </wp:positionV>
            <wp:extent cx="8255" cy="825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4695190</wp:posOffset>
            </wp:positionH>
            <wp:positionV relativeFrom="paragraph">
              <wp:posOffset>-7620</wp:posOffset>
            </wp:positionV>
            <wp:extent cx="8255" cy="825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-7620</wp:posOffset>
            </wp:positionV>
            <wp:extent cx="8255" cy="825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-7620</wp:posOffset>
            </wp:positionV>
            <wp:extent cx="8255" cy="8255"/>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-7620</wp:posOffset>
            </wp:positionV>
            <wp:extent cx="8255" cy="825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-7620</wp:posOffset>
            </wp:positionV>
            <wp:extent cx="8255" cy="8255"/>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-7620</wp:posOffset>
            </wp:positionV>
            <wp:extent cx="8255" cy="8255"/>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8255" cy="825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8255" cy="825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4830445</wp:posOffset>
            </wp:positionH>
            <wp:positionV relativeFrom="paragraph">
              <wp:posOffset>-7620</wp:posOffset>
            </wp:positionV>
            <wp:extent cx="8255" cy="825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4847590</wp:posOffset>
            </wp:positionH>
            <wp:positionV relativeFrom="paragraph">
              <wp:posOffset>-7620</wp:posOffset>
            </wp:positionV>
            <wp:extent cx="8255" cy="8255"/>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4864735</wp:posOffset>
            </wp:positionH>
            <wp:positionV relativeFrom="paragraph">
              <wp:posOffset>-7620</wp:posOffset>
            </wp:positionV>
            <wp:extent cx="8255" cy="825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4881245</wp:posOffset>
            </wp:positionH>
            <wp:positionV relativeFrom="paragraph">
              <wp:posOffset>-7620</wp:posOffset>
            </wp:positionV>
            <wp:extent cx="8255" cy="825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4898390</wp:posOffset>
            </wp:positionH>
            <wp:positionV relativeFrom="paragraph">
              <wp:posOffset>-7620</wp:posOffset>
            </wp:positionV>
            <wp:extent cx="8255" cy="825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-7620</wp:posOffset>
            </wp:positionV>
            <wp:extent cx="8255" cy="825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-7620</wp:posOffset>
            </wp:positionV>
            <wp:extent cx="8255" cy="8255"/>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-7620</wp:posOffset>
            </wp:positionV>
            <wp:extent cx="8255" cy="825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4965700</wp:posOffset>
            </wp:positionH>
            <wp:positionV relativeFrom="paragraph">
              <wp:posOffset>-7620</wp:posOffset>
            </wp:positionV>
            <wp:extent cx="8255" cy="8255"/>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4982845</wp:posOffset>
            </wp:positionH>
            <wp:positionV relativeFrom="paragraph">
              <wp:posOffset>-7620</wp:posOffset>
            </wp:positionV>
            <wp:extent cx="8255" cy="825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4999990</wp:posOffset>
            </wp:positionH>
            <wp:positionV relativeFrom="paragraph">
              <wp:posOffset>-7620</wp:posOffset>
            </wp:positionV>
            <wp:extent cx="8255" cy="825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5016500</wp:posOffset>
            </wp:positionH>
            <wp:positionV relativeFrom="paragraph">
              <wp:posOffset>-7620</wp:posOffset>
            </wp:positionV>
            <wp:extent cx="8255" cy="8255"/>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5033645</wp:posOffset>
            </wp:positionH>
            <wp:positionV relativeFrom="paragraph">
              <wp:posOffset>-7620</wp:posOffset>
            </wp:positionV>
            <wp:extent cx="8255" cy="8255"/>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-7620</wp:posOffset>
            </wp:positionV>
            <wp:extent cx="8255" cy="825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5067300</wp:posOffset>
            </wp:positionH>
            <wp:positionV relativeFrom="paragraph">
              <wp:posOffset>-7620</wp:posOffset>
            </wp:positionV>
            <wp:extent cx="8255" cy="8255"/>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5084445</wp:posOffset>
            </wp:positionH>
            <wp:positionV relativeFrom="paragraph">
              <wp:posOffset>-7620</wp:posOffset>
            </wp:positionV>
            <wp:extent cx="8255" cy="825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5100955</wp:posOffset>
            </wp:positionH>
            <wp:positionV relativeFrom="paragraph">
              <wp:posOffset>-7620</wp:posOffset>
            </wp:positionV>
            <wp:extent cx="8255" cy="8255"/>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5118100</wp:posOffset>
            </wp:positionH>
            <wp:positionV relativeFrom="paragraph">
              <wp:posOffset>-7620</wp:posOffset>
            </wp:positionV>
            <wp:extent cx="8255" cy="8255"/>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5135245</wp:posOffset>
            </wp:positionH>
            <wp:positionV relativeFrom="paragraph">
              <wp:posOffset>-7620</wp:posOffset>
            </wp:positionV>
            <wp:extent cx="8255" cy="8255"/>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5151755</wp:posOffset>
            </wp:positionH>
            <wp:positionV relativeFrom="paragraph">
              <wp:posOffset>-7620</wp:posOffset>
            </wp:positionV>
            <wp:extent cx="8255" cy="825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5168900</wp:posOffset>
            </wp:positionH>
            <wp:positionV relativeFrom="paragraph">
              <wp:posOffset>-7620</wp:posOffset>
            </wp:positionV>
            <wp:extent cx="8255" cy="8255"/>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5186045</wp:posOffset>
            </wp:positionH>
            <wp:positionV relativeFrom="paragraph">
              <wp:posOffset>-7620</wp:posOffset>
            </wp:positionV>
            <wp:extent cx="8255" cy="825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-7620</wp:posOffset>
            </wp:positionV>
            <wp:extent cx="8255" cy="8255"/>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-7620</wp:posOffset>
            </wp:positionV>
            <wp:extent cx="8255" cy="825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-7620</wp:posOffset>
            </wp:positionV>
            <wp:extent cx="8255" cy="8255"/>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-7620</wp:posOffset>
            </wp:positionV>
            <wp:extent cx="8255" cy="825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-7620</wp:posOffset>
            </wp:positionV>
            <wp:extent cx="8255" cy="8255"/>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5287010</wp:posOffset>
            </wp:positionH>
            <wp:positionV relativeFrom="paragraph">
              <wp:posOffset>-7620</wp:posOffset>
            </wp:positionV>
            <wp:extent cx="8255" cy="825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5304155</wp:posOffset>
            </wp:positionH>
            <wp:positionV relativeFrom="paragraph">
              <wp:posOffset>-7620</wp:posOffset>
            </wp:positionV>
            <wp:extent cx="8255" cy="8255"/>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5321300</wp:posOffset>
            </wp:positionH>
            <wp:positionV relativeFrom="paragraph">
              <wp:posOffset>-7620</wp:posOffset>
            </wp:positionV>
            <wp:extent cx="8255" cy="8255"/>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-7620</wp:posOffset>
            </wp:positionV>
            <wp:extent cx="8255" cy="8255"/>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-7620</wp:posOffset>
            </wp:positionV>
            <wp:extent cx="8255" cy="8255"/>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8255" cy="8255"/>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8255" cy="8255"/>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8255" cy="8255"/>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5422265</wp:posOffset>
            </wp:positionH>
            <wp:positionV relativeFrom="paragraph">
              <wp:posOffset>-7620</wp:posOffset>
            </wp:positionV>
            <wp:extent cx="8255" cy="8255"/>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5439410</wp:posOffset>
            </wp:positionH>
            <wp:positionV relativeFrom="paragraph">
              <wp:posOffset>-7620</wp:posOffset>
            </wp:positionV>
            <wp:extent cx="8255" cy="825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5455920</wp:posOffset>
            </wp:positionH>
            <wp:positionV relativeFrom="paragraph">
              <wp:posOffset>-7620</wp:posOffset>
            </wp:positionV>
            <wp:extent cx="8255" cy="825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5473065</wp:posOffset>
            </wp:positionH>
            <wp:positionV relativeFrom="paragraph">
              <wp:posOffset>-7620</wp:posOffset>
            </wp:positionV>
            <wp:extent cx="8255" cy="8255"/>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5490210</wp:posOffset>
            </wp:positionH>
            <wp:positionV relativeFrom="paragraph">
              <wp:posOffset>-7620</wp:posOffset>
            </wp:positionV>
            <wp:extent cx="8255" cy="8255"/>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5506720</wp:posOffset>
            </wp:positionH>
            <wp:positionV relativeFrom="paragraph">
              <wp:posOffset>-7620</wp:posOffset>
            </wp:positionV>
            <wp:extent cx="8255" cy="825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5523865</wp:posOffset>
            </wp:positionH>
            <wp:positionV relativeFrom="paragraph">
              <wp:posOffset>-7620</wp:posOffset>
            </wp:positionV>
            <wp:extent cx="8255" cy="825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5541010</wp:posOffset>
            </wp:positionH>
            <wp:positionV relativeFrom="paragraph">
              <wp:posOffset>-7620</wp:posOffset>
            </wp:positionV>
            <wp:extent cx="8255" cy="825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-7620</wp:posOffset>
            </wp:positionV>
            <wp:extent cx="8255" cy="825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-7620</wp:posOffset>
            </wp:positionV>
            <wp:extent cx="8255" cy="8255"/>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5591175</wp:posOffset>
            </wp:positionH>
            <wp:positionV relativeFrom="paragraph">
              <wp:posOffset>-7620</wp:posOffset>
            </wp:positionV>
            <wp:extent cx="8255" cy="8255"/>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5608320</wp:posOffset>
            </wp:positionH>
            <wp:positionV relativeFrom="paragraph">
              <wp:posOffset>-7620</wp:posOffset>
            </wp:positionV>
            <wp:extent cx="8255" cy="825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5625465</wp:posOffset>
            </wp:positionH>
            <wp:positionV relativeFrom="paragraph">
              <wp:posOffset>-7620</wp:posOffset>
            </wp:positionV>
            <wp:extent cx="8255" cy="825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5641975</wp:posOffset>
            </wp:positionH>
            <wp:positionV relativeFrom="paragraph">
              <wp:posOffset>-7620</wp:posOffset>
            </wp:positionV>
            <wp:extent cx="8255" cy="825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5659120</wp:posOffset>
            </wp:positionH>
            <wp:positionV relativeFrom="paragraph">
              <wp:posOffset>-7620</wp:posOffset>
            </wp:positionV>
            <wp:extent cx="8255" cy="825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5676265</wp:posOffset>
            </wp:positionH>
            <wp:positionV relativeFrom="paragraph">
              <wp:posOffset>-7620</wp:posOffset>
            </wp:positionV>
            <wp:extent cx="8255" cy="8255"/>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5692775</wp:posOffset>
            </wp:positionH>
            <wp:positionV relativeFrom="paragraph">
              <wp:posOffset>-7620</wp:posOffset>
            </wp:positionV>
            <wp:extent cx="8255" cy="8255"/>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5709920</wp:posOffset>
            </wp:positionH>
            <wp:positionV relativeFrom="paragraph">
              <wp:posOffset>-7620</wp:posOffset>
            </wp:positionV>
            <wp:extent cx="8255" cy="825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5726430</wp:posOffset>
            </wp:positionH>
            <wp:positionV relativeFrom="paragraph">
              <wp:posOffset>-7620</wp:posOffset>
            </wp:positionV>
            <wp:extent cx="8255" cy="8255"/>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5743575</wp:posOffset>
            </wp:positionH>
            <wp:positionV relativeFrom="paragraph">
              <wp:posOffset>-7620</wp:posOffset>
            </wp:positionV>
            <wp:extent cx="8255" cy="8255"/>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5760720</wp:posOffset>
            </wp:positionH>
            <wp:positionV relativeFrom="paragraph">
              <wp:posOffset>-7620</wp:posOffset>
            </wp:positionV>
            <wp:extent cx="8255" cy="825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5777230</wp:posOffset>
            </wp:positionH>
            <wp:positionV relativeFrom="paragraph">
              <wp:posOffset>-7620</wp:posOffset>
            </wp:positionV>
            <wp:extent cx="8255" cy="8255"/>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5794375</wp:posOffset>
            </wp:positionH>
            <wp:positionV relativeFrom="paragraph">
              <wp:posOffset>-7620</wp:posOffset>
            </wp:positionV>
            <wp:extent cx="8255" cy="825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-7620</wp:posOffset>
            </wp:positionV>
            <wp:extent cx="8255" cy="8255"/>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-7620</wp:posOffset>
            </wp:positionV>
            <wp:extent cx="8255" cy="8255"/>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5845175</wp:posOffset>
            </wp:positionH>
            <wp:positionV relativeFrom="paragraph">
              <wp:posOffset>-7620</wp:posOffset>
            </wp:positionV>
            <wp:extent cx="8255" cy="8255"/>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-7620</wp:posOffset>
            </wp:positionV>
            <wp:extent cx="8255" cy="8255"/>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-7620</wp:posOffset>
            </wp:positionV>
            <wp:extent cx="8255" cy="8255"/>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8255" cy="8255"/>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5912485</wp:posOffset>
            </wp:positionH>
            <wp:positionV relativeFrom="paragraph">
              <wp:posOffset>-7620</wp:posOffset>
            </wp:positionV>
            <wp:extent cx="8255" cy="8255"/>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-7620</wp:posOffset>
            </wp:positionV>
            <wp:extent cx="8255" cy="825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5946775</wp:posOffset>
            </wp:positionH>
            <wp:positionV relativeFrom="paragraph">
              <wp:posOffset>-7620</wp:posOffset>
            </wp:positionV>
            <wp:extent cx="8255" cy="8255"/>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-7620</wp:posOffset>
            </wp:positionV>
            <wp:extent cx="8255" cy="8255"/>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-7620</wp:posOffset>
            </wp:positionV>
            <wp:extent cx="8255" cy="8255"/>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8255" cy="8255"/>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8255" cy="8255"/>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8255" cy="8255"/>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6047740</wp:posOffset>
            </wp:positionH>
            <wp:positionV relativeFrom="paragraph">
              <wp:posOffset>-7620</wp:posOffset>
            </wp:positionV>
            <wp:extent cx="8255" cy="8255"/>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6064885</wp:posOffset>
            </wp:positionH>
            <wp:positionV relativeFrom="paragraph">
              <wp:posOffset>-7620</wp:posOffset>
            </wp:positionV>
            <wp:extent cx="8255" cy="8255"/>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6082030</wp:posOffset>
            </wp:positionH>
            <wp:positionV relativeFrom="paragraph">
              <wp:posOffset>-7620</wp:posOffset>
            </wp:positionV>
            <wp:extent cx="8255" cy="8255"/>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6098540</wp:posOffset>
            </wp:positionH>
            <wp:positionV relativeFrom="paragraph">
              <wp:posOffset>-7620</wp:posOffset>
            </wp:positionV>
            <wp:extent cx="8255" cy="8255"/>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6115685</wp:posOffset>
            </wp:positionH>
            <wp:positionV relativeFrom="paragraph">
              <wp:posOffset>-7620</wp:posOffset>
            </wp:positionV>
            <wp:extent cx="8255" cy="8255"/>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6132195</wp:posOffset>
            </wp:positionH>
            <wp:positionV relativeFrom="paragraph">
              <wp:posOffset>-7620</wp:posOffset>
            </wp:positionV>
            <wp:extent cx="8255" cy="8255"/>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6149340</wp:posOffset>
            </wp:positionH>
            <wp:positionV relativeFrom="paragraph">
              <wp:posOffset>-7620</wp:posOffset>
            </wp:positionV>
            <wp:extent cx="8255" cy="8255"/>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6166485</wp:posOffset>
            </wp:positionH>
            <wp:positionV relativeFrom="paragraph">
              <wp:posOffset>-7620</wp:posOffset>
            </wp:positionV>
            <wp:extent cx="8255" cy="8255"/>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6182995</wp:posOffset>
            </wp:positionH>
            <wp:positionV relativeFrom="paragraph">
              <wp:posOffset>-7620</wp:posOffset>
            </wp:positionV>
            <wp:extent cx="8255" cy="8255"/>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6200140</wp:posOffset>
            </wp:positionH>
            <wp:positionV relativeFrom="paragraph">
              <wp:posOffset>-7620</wp:posOffset>
            </wp:positionV>
            <wp:extent cx="8255" cy="8255"/>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6217285</wp:posOffset>
            </wp:positionH>
            <wp:positionV relativeFrom="paragraph">
              <wp:posOffset>-7620</wp:posOffset>
            </wp:positionV>
            <wp:extent cx="8255" cy="8255"/>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6233795</wp:posOffset>
            </wp:positionH>
            <wp:positionV relativeFrom="paragraph">
              <wp:posOffset>-7620</wp:posOffset>
            </wp:positionV>
            <wp:extent cx="8255" cy="8255"/>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6250940</wp:posOffset>
            </wp:positionH>
            <wp:positionV relativeFrom="paragraph">
              <wp:posOffset>-7620</wp:posOffset>
            </wp:positionV>
            <wp:extent cx="8255" cy="8255"/>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6267450</wp:posOffset>
            </wp:positionH>
            <wp:positionV relativeFrom="paragraph">
              <wp:posOffset>-7620</wp:posOffset>
            </wp:positionV>
            <wp:extent cx="8255" cy="8255"/>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6284595</wp:posOffset>
            </wp:positionH>
            <wp:positionV relativeFrom="paragraph">
              <wp:posOffset>-7620</wp:posOffset>
            </wp:positionV>
            <wp:extent cx="8255" cy="8255"/>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6301740</wp:posOffset>
            </wp:positionH>
            <wp:positionV relativeFrom="paragraph">
              <wp:posOffset>-7620</wp:posOffset>
            </wp:positionV>
            <wp:extent cx="8255" cy="8255"/>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6318250</wp:posOffset>
            </wp:positionH>
            <wp:positionV relativeFrom="paragraph">
              <wp:posOffset>-7620</wp:posOffset>
            </wp:positionV>
            <wp:extent cx="8255" cy="8255"/>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6335395</wp:posOffset>
            </wp:positionH>
            <wp:positionV relativeFrom="paragraph">
              <wp:posOffset>-7620</wp:posOffset>
            </wp:positionV>
            <wp:extent cx="8255" cy="8255"/>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6352540</wp:posOffset>
            </wp:positionH>
            <wp:positionV relativeFrom="paragraph">
              <wp:posOffset>-7620</wp:posOffset>
            </wp:positionV>
            <wp:extent cx="8255" cy="8255"/>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6369050</wp:posOffset>
            </wp:positionH>
            <wp:positionV relativeFrom="paragraph">
              <wp:posOffset>-7620</wp:posOffset>
            </wp:positionV>
            <wp:extent cx="8255" cy="8255"/>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6386195</wp:posOffset>
            </wp:positionH>
            <wp:positionV relativeFrom="paragraph">
              <wp:posOffset>-7620</wp:posOffset>
            </wp:positionV>
            <wp:extent cx="8255" cy="8255"/>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-7620</wp:posOffset>
            </wp:positionV>
            <wp:extent cx="8255" cy="8255"/>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-7620</wp:posOffset>
            </wp:positionV>
            <wp:extent cx="8255" cy="8255"/>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-7620</wp:posOffset>
            </wp:positionV>
            <wp:extent cx="8255" cy="8255"/>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6453505</wp:posOffset>
            </wp:positionH>
            <wp:positionV relativeFrom="paragraph">
              <wp:posOffset>-7620</wp:posOffset>
            </wp:positionV>
            <wp:extent cx="8255" cy="8255"/>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6470650</wp:posOffset>
            </wp:positionH>
            <wp:positionV relativeFrom="paragraph">
              <wp:posOffset>-7620</wp:posOffset>
            </wp:positionV>
            <wp:extent cx="8255" cy="8255"/>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6487795</wp:posOffset>
            </wp:positionH>
            <wp:positionV relativeFrom="paragraph">
              <wp:posOffset>-7620</wp:posOffset>
            </wp:positionV>
            <wp:extent cx="8255" cy="8255"/>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6504305</wp:posOffset>
            </wp:positionH>
            <wp:positionV relativeFrom="paragraph">
              <wp:posOffset>-7620</wp:posOffset>
            </wp:positionV>
            <wp:extent cx="8255" cy="8255"/>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6521450</wp:posOffset>
            </wp:positionH>
            <wp:positionV relativeFrom="paragraph">
              <wp:posOffset>-7620</wp:posOffset>
            </wp:positionV>
            <wp:extent cx="8255" cy="8255"/>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-7620</wp:posOffset>
            </wp:positionV>
            <wp:extent cx="8255" cy="8255"/>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-7620</wp:posOffset>
            </wp:positionV>
            <wp:extent cx="8255" cy="8255"/>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-7620</wp:posOffset>
            </wp:positionV>
            <wp:extent cx="8255" cy="8255"/>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-7620</wp:posOffset>
            </wp:positionV>
            <wp:extent cx="8255" cy="8255"/>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-7620</wp:posOffset>
            </wp:positionV>
            <wp:extent cx="8255" cy="8255"/>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6622415</wp:posOffset>
            </wp:positionH>
            <wp:positionV relativeFrom="paragraph">
              <wp:posOffset>-7620</wp:posOffset>
            </wp:positionV>
            <wp:extent cx="8255" cy="8255"/>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6639560</wp:posOffset>
            </wp:positionH>
            <wp:positionV relativeFrom="paragraph">
              <wp:posOffset>-7620</wp:posOffset>
            </wp:positionV>
            <wp:extent cx="8255" cy="8255"/>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6656705</wp:posOffset>
            </wp:positionH>
            <wp:positionV relativeFrom="paragraph">
              <wp:posOffset>-7620</wp:posOffset>
            </wp:positionV>
            <wp:extent cx="8255" cy="8255"/>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6673215</wp:posOffset>
            </wp:positionH>
            <wp:positionV relativeFrom="paragraph">
              <wp:posOffset>-7620</wp:posOffset>
            </wp:positionV>
            <wp:extent cx="8255" cy="8255"/>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6690360</wp:posOffset>
            </wp:positionH>
            <wp:positionV relativeFrom="paragraph">
              <wp:posOffset>-7620</wp:posOffset>
            </wp:positionV>
            <wp:extent cx="8255" cy="8255"/>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6707505</wp:posOffset>
            </wp:positionH>
            <wp:positionV relativeFrom="paragraph">
              <wp:posOffset>-7620</wp:posOffset>
            </wp:positionV>
            <wp:extent cx="8255" cy="8255"/>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6724015</wp:posOffset>
            </wp:positionH>
            <wp:positionV relativeFrom="paragraph">
              <wp:posOffset>-7620</wp:posOffset>
            </wp:positionV>
            <wp:extent cx="8255" cy="8255"/>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6741160</wp:posOffset>
            </wp:positionH>
            <wp:positionV relativeFrom="paragraph">
              <wp:posOffset>-7620</wp:posOffset>
            </wp:positionV>
            <wp:extent cx="8255" cy="8255"/>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6757670</wp:posOffset>
            </wp:positionH>
            <wp:positionV relativeFrom="paragraph">
              <wp:posOffset>-7620</wp:posOffset>
            </wp:positionV>
            <wp:extent cx="8255" cy="8255"/>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6774815</wp:posOffset>
            </wp:positionH>
            <wp:positionV relativeFrom="paragraph">
              <wp:posOffset>-7620</wp:posOffset>
            </wp:positionV>
            <wp:extent cx="8255" cy="8255"/>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6791960</wp:posOffset>
            </wp:positionH>
            <wp:positionV relativeFrom="paragraph">
              <wp:posOffset>-7620</wp:posOffset>
            </wp:positionV>
            <wp:extent cx="8255" cy="8255"/>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6808470</wp:posOffset>
            </wp:positionH>
            <wp:positionV relativeFrom="paragraph">
              <wp:posOffset>-7620</wp:posOffset>
            </wp:positionV>
            <wp:extent cx="8255" cy="8255"/>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6825615</wp:posOffset>
            </wp:positionH>
            <wp:positionV relativeFrom="paragraph">
              <wp:posOffset>-7620</wp:posOffset>
            </wp:positionV>
            <wp:extent cx="8255" cy="8255"/>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6842760</wp:posOffset>
            </wp:positionH>
            <wp:positionV relativeFrom="paragraph">
              <wp:posOffset>-7620</wp:posOffset>
            </wp:positionV>
            <wp:extent cx="8255" cy="8255"/>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6859270</wp:posOffset>
            </wp:positionH>
            <wp:positionV relativeFrom="paragraph">
              <wp:posOffset>-7620</wp:posOffset>
            </wp:positionV>
            <wp:extent cx="8255" cy="8255"/>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6876415</wp:posOffset>
            </wp:positionH>
            <wp:positionV relativeFrom="paragraph">
              <wp:posOffset>-7620</wp:posOffset>
            </wp:positionV>
            <wp:extent cx="8255" cy="8255"/>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6892925</wp:posOffset>
            </wp:positionH>
            <wp:positionV relativeFrom="paragraph">
              <wp:posOffset>-7620</wp:posOffset>
            </wp:positionV>
            <wp:extent cx="8255" cy="8255"/>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6910070</wp:posOffset>
            </wp:positionH>
            <wp:positionV relativeFrom="paragraph">
              <wp:posOffset>-7620</wp:posOffset>
            </wp:positionV>
            <wp:extent cx="8255" cy="8255"/>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6927215</wp:posOffset>
            </wp:positionH>
            <wp:positionV relativeFrom="paragraph">
              <wp:posOffset>-7620</wp:posOffset>
            </wp:positionV>
            <wp:extent cx="8255" cy="8255"/>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6943725</wp:posOffset>
            </wp:positionH>
            <wp:positionV relativeFrom="paragraph">
              <wp:posOffset>-7620</wp:posOffset>
            </wp:positionV>
            <wp:extent cx="8255" cy="8255"/>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6960870</wp:posOffset>
            </wp:positionH>
            <wp:positionV relativeFrom="paragraph">
              <wp:posOffset>-7620</wp:posOffset>
            </wp:positionV>
            <wp:extent cx="8255" cy="8255"/>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6978015</wp:posOffset>
            </wp:positionH>
            <wp:positionV relativeFrom="paragraph">
              <wp:posOffset>-7620</wp:posOffset>
            </wp:positionV>
            <wp:extent cx="8255" cy="8255"/>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6994525</wp:posOffset>
            </wp:positionH>
            <wp:positionV relativeFrom="paragraph">
              <wp:posOffset>-7620</wp:posOffset>
            </wp:positionV>
            <wp:extent cx="8255" cy="8255"/>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7011670</wp:posOffset>
            </wp:positionH>
            <wp:positionV relativeFrom="paragraph">
              <wp:posOffset>-7620</wp:posOffset>
            </wp:positionV>
            <wp:extent cx="8255" cy="8255"/>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7028180</wp:posOffset>
            </wp:positionH>
            <wp:positionV relativeFrom="paragraph">
              <wp:posOffset>-7620</wp:posOffset>
            </wp:positionV>
            <wp:extent cx="8255" cy="8255"/>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7045325</wp:posOffset>
            </wp:positionH>
            <wp:positionV relativeFrom="paragraph">
              <wp:posOffset>-7620</wp:posOffset>
            </wp:positionV>
            <wp:extent cx="8255" cy="8255"/>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7062470</wp:posOffset>
            </wp:positionH>
            <wp:positionV relativeFrom="paragraph">
              <wp:posOffset>-7620</wp:posOffset>
            </wp:positionV>
            <wp:extent cx="8255" cy="8255"/>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7078980</wp:posOffset>
            </wp:positionH>
            <wp:positionV relativeFrom="paragraph">
              <wp:posOffset>-7620</wp:posOffset>
            </wp:positionV>
            <wp:extent cx="8255" cy="8255"/>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7096125</wp:posOffset>
            </wp:positionH>
            <wp:positionV relativeFrom="paragraph">
              <wp:posOffset>-7620</wp:posOffset>
            </wp:positionV>
            <wp:extent cx="8255" cy="8255"/>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7113270</wp:posOffset>
            </wp:positionH>
            <wp:positionV relativeFrom="paragraph">
              <wp:posOffset>-7620</wp:posOffset>
            </wp:positionV>
            <wp:extent cx="8255" cy="8255"/>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color w:val="009A4B"/>
        </w:rPr>
        <w:t>Roles of the Committee, Compensation Consultant and Management in the Compensation Process</w:t>
      </w:r>
    </w:p>
    <w:p>
      <w:pPr>
        <w:spacing w:after="0" w:line="221" w:lineRule="exact"/>
        <w:rPr>
          <w:sz w:val="20"/>
          <w:szCs w:val="20"/>
          <w:color w:val="auto"/>
        </w:rPr>
      </w:pPr>
    </w:p>
    <w:p>
      <w:pPr>
        <w:spacing w:after="0"/>
        <w:rPr>
          <w:sz w:val="20"/>
          <w:szCs w:val="20"/>
          <w:color w:val="auto"/>
        </w:rPr>
      </w:pPr>
      <w:r>
        <w:rPr>
          <w:rFonts w:ascii="Arial" w:cs="Arial" w:eastAsia="Arial" w:hAnsi="Arial"/>
          <w:sz w:val="23"/>
          <w:szCs w:val="23"/>
          <w:color w:val="auto"/>
        </w:rPr>
        <w:t>Committee Responsibilities</w:t>
      </w:r>
    </w:p>
    <w:p>
      <w:pPr>
        <w:spacing w:after="0" w:line="226"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The Committee is responsible to the Board and to shareholders for establishment and oversight of the Company’s compensation program for executive officers and for approving the compensation level of the executive officers. The Committee establishes overall compensation strategies and policies for the executive officers, allocates compensation for executive officers among the various components of compensation, evaluates and approves performance measures and goals relevant to the incentive compensation of the executive officers, evaluates the performance of the CEO with input from the Board, determines total direct compensation levels for the CEO and evaluates and approves direct compensation levels for other executive officers. Each year, the Committee:</w:t>
      </w:r>
    </w:p>
    <w:p>
      <w:pPr>
        <w:spacing w:after="0" w:line="136" w:lineRule="exact"/>
        <w:rPr>
          <w:sz w:val="20"/>
          <w:szCs w:val="20"/>
          <w:color w:val="auto"/>
        </w:rPr>
      </w:pPr>
    </w:p>
    <w:p>
      <w:pPr>
        <w:ind w:left="400" w:right="580" w:hanging="207"/>
        <w:spacing w:after="0" w:line="287" w:lineRule="auto"/>
        <w:tabs>
          <w:tab w:leader="none" w:pos="400" w:val="left"/>
        </w:tabs>
        <w:numPr>
          <w:ilvl w:val="0"/>
          <w:numId w:val="44"/>
        </w:numPr>
        <w:rPr>
          <w:rFonts w:ascii="Arial" w:cs="Arial" w:eastAsia="Arial" w:hAnsi="Arial"/>
          <w:sz w:val="15"/>
          <w:szCs w:val="15"/>
          <w:color w:val="009A4B"/>
        </w:rPr>
      </w:pPr>
      <w:r>
        <w:rPr>
          <w:rFonts w:ascii="Arial" w:cs="Arial" w:eastAsia="Arial" w:hAnsi="Arial"/>
          <w:sz w:val="15"/>
          <w:szCs w:val="15"/>
          <w:color w:val="auto"/>
        </w:rPr>
        <w:t>reviews and evaluates the appropriateness of the Company’s current executive officer compensation program based on several factors, including competitiveness of the program and alignment of compensation delivered under the program with the Company’s strategies and performance;</w:t>
      </w:r>
    </w:p>
    <w:p>
      <w:pPr>
        <w:spacing w:after="0" w:line="66" w:lineRule="exact"/>
        <w:rPr>
          <w:rFonts w:ascii="Arial" w:cs="Arial" w:eastAsia="Arial" w:hAnsi="Arial"/>
          <w:sz w:val="15"/>
          <w:szCs w:val="15"/>
          <w:color w:val="009A4B"/>
        </w:rPr>
      </w:pPr>
    </w:p>
    <w:p>
      <w:pPr>
        <w:ind w:left="400" w:hanging="207"/>
        <w:spacing w:after="0"/>
        <w:tabs>
          <w:tab w:leader="none" w:pos="400" w:val="left"/>
        </w:tabs>
        <w:numPr>
          <w:ilvl w:val="0"/>
          <w:numId w:val="44"/>
        </w:numPr>
        <w:rPr>
          <w:rFonts w:ascii="Arial" w:cs="Arial" w:eastAsia="Arial" w:hAnsi="Arial"/>
          <w:sz w:val="16"/>
          <w:szCs w:val="16"/>
          <w:color w:val="009A4B"/>
        </w:rPr>
      </w:pPr>
      <w:r>
        <w:rPr>
          <w:rFonts w:ascii="Arial" w:cs="Arial" w:eastAsia="Arial" w:hAnsi="Arial"/>
          <w:sz w:val="16"/>
          <w:szCs w:val="16"/>
          <w:color w:val="auto"/>
        </w:rPr>
        <w:t>reviews whether the program design encourages excessive risk-taking;</w:t>
      </w:r>
    </w:p>
    <w:p>
      <w:pPr>
        <w:spacing w:after="0" w:line="108" w:lineRule="exact"/>
        <w:rPr>
          <w:rFonts w:ascii="Arial" w:cs="Arial" w:eastAsia="Arial" w:hAnsi="Arial"/>
          <w:sz w:val="16"/>
          <w:szCs w:val="16"/>
          <w:color w:val="009A4B"/>
        </w:rPr>
      </w:pPr>
    </w:p>
    <w:p>
      <w:pPr>
        <w:ind w:left="400" w:hanging="207"/>
        <w:spacing w:after="0"/>
        <w:tabs>
          <w:tab w:leader="none" w:pos="400" w:val="left"/>
        </w:tabs>
        <w:numPr>
          <w:ilvl w:val="0"/>
          <w:numId w:val="44"/>
        </w:numPr>
        <w:rPr>
          <w:rFonts w:ascii="Arial" w:cs="Arial" w:eastAsia="Arial" w:hAnsi="Arial"/>
          <w:sz w:val="16"/>
          <w:szCs w:val="16"/>
          <w:color w:val="009A4B"/>
        </w:rPr>
      </w:pPr>
      <w:r>
        <w:rPr>
          <w:rFonts w:ascii="Arial" w:cs="Arial" w:eastAsia="Arial" w:hAnsi="Arial"/>
          <w:sz w:val="16"/>
          <w:szCs w:val="16"/>
          <w:color w:val="auto"/>
        </w:rPr>
        <w:t>approves peer groups for market reference;</w:t>
      </w:r>
    </w:p>
    <w:p>
      <w:pPr>
        <w:spacing w:after="0" w:line="108" w:lineRule="exact"/>
        <w:rPr>
          <w:rFonts w:ascii="Arial" w:cs="Arial" w:eastAsia="Arial" w:hAnsi="Arial"/>
          <w:sz w:val="16"/>
          <w:szCs w:val="16"/>
          <w:color w:val="009A4B"/>
        </w:rPr>
      </w:pPr>
    </w:p>
    <w:p>
      <w:pPr>
        <w:ind w:left="400" w:hanging="207"/>
        <w:spacing w:after="0"/>
        <w:tabs>
          <w:tab w:leader="none" w:pos="400" w:val="left"/>
        </w:tabs>
        <w:numPr>
          <w:ilvl w:val="0"/>
          <w:numId w:val="44"/>
        </w:numPr>
        <w:rPr>
          <w:rFonts w:ascii="Arial" w:cs="Arial" w:eastAsia="Arial" w:hAnsi="Arial"/>
          <w:sz w:val="16"/>
          <w:szCs w:val="16"/>
          <w:color w:val="009A4B"/>
        </w:rPr>
      </w:pPr>
      <w:r>
        <w:rPr>
          <w:rFonts w:ascii="Arial" w:cs="Arial" w:eastAsia="Arial" w:hAnsi="Arial"/>
          <w:sz w:val="16"/>
          <w:szCs w:val="16"/>
          <w:color w:val="auto"/>
        </w:rPr>
        <w:t>reviews dilution and burn rates associated with the Company’s equity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194945</wp:posOffset>
            </wp:positionV>
            <wp:extent cx="845185" cy="202565"/>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845185" cy="20256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7155180" cy="20955"/>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400" w:hanging="207"/>
        <w:spacing w:after="0"/>
        <w:tabs>
          <w:tab w:leader="none" w:pos="400" w:val="left"/>
        </w:tabs>
        <w:numPr>
          <w:ilvl w:val="0"/>
          <w:numId w:val="45"/>
        </w:numPr>
        <w:rPr>
          <w:rFonts w:ascii="Arial" w:cs="Arial" w:eastAsia="Arial" w:hAnsi="Arial"/>
          <w:sz w:val="16"/>
          <w:szCs w:val="16"/>
          <w:color w:val="009A4B"/>
        </w:rPr>
      </w:pPr>
      <w:r>
        <w:rPr>
          <w:rFonts w:ascii="Arial" w:cs="Arial" w:eastAsia="Arial" w:hAnsi="Arial"/>
          <w:sz w:val="16"/>
          <w:szCs w:val="16"/>
          <w:color w:val="auto"/>
        </w:rPr>
        <w:t>evaluates and approves changes to incentive compensation and benefit plans when needed;</w:t>
      </w:r>
    </w:p>
    <w:p>
      <w:pPr>
        <w:spacing w:after="0" w:line="108" w:lineRule="exact"/>
        <w:rPr>
          <w:rFonts w:ascii="Arial" w:cs="Arial" w:eastAsia="Arial" w:hAnsi="Arial"/>
          <w:sz w:val="16"/>
          <w:szCs w:val="16"/>
          <w:color w:val="009A4B"/>
        </w:rPr>
      </w:pPr>
    </w:p>
    <w:p>
      <w:pPr>
        <w:ind w:left="400" w:hanging="207"/>
        <w:spacing w:after="0"/>
        <w:tabs>
          <w:tab w:leader="none" w:pos="400" w:val="left"/>
        </w:tabs>
        <w:numPr>
          <w:ilvl w:val="0"/>
          <w:numId w:val="45"/>
        </w:numPr>
        <w:rPr>
          <w:rFonts w:ascii="Arial" w:cs="Arial" w:eastAsia="Arial" w:hAnsi="Arial"/>
          <w:sz w:val="16"/>
          <w:szCs w:val="16"/>
          <w:color w:val="009A4B"/>
        </w:rPr>
      </w:pPr>
      <w:r>
        <w:rPr>
          <w:rFonts w:ascii="Arial" w:cs="Arial" w:eastAsia="Arial" w:hAnsi="Arial"/>
          <w:sz w:val="16"/>
          <w:szCs w:val="16"/>
          <w:color w:val="auto"/>
        </w:rPr>
        <w:t>approves incentive compensation payouts for the current year; and</w:t>
      </w:r>
    </w:p>
    <w:p>
      <w:pPr>
        <w:spacing w:after="0" w:line="108" w:lineRule="exact"/>
        <w:rPr>
          <w:rFonts w:ascii="Arial" w:cs="Arial" w:eastAsia="Arial" w:hAnsi="Arial"/>
          <w:sz w:val="16"/>
          <w:szCs w:val="16"/>
          <w:color w:val="009A4B"/>
        </w:rPr>
      </w:pPr>
    </w:p>
    <w:p>
      <w:pPr>
        <w:ind w:left="400" w:hanging="207"/>
        <w:spacing w:after="0"/>
        <w:tabs>
          <w:tab w:leader="none" w:pos="400" w:val="left"/>
        </w:tabs>
        <w:numPr>
          <w:ilvl w:val="0"/>
          <w:numId w:val="45"/>
        </w:numPr>
        <w:rPr>
          <w:rFonts w:ascii="Arial" w:cs="Arial" w:eastAsia="Arial" w:hAnsi="Arial"/>
          <w:sz w:val="16"/>
          <w:szCs w:val="16"/>
          <w:color w:val="009A4B"/>
        </w:rPr>
      </w:pPr>
      <w:r>
        <w:rPr>
          <w:rFonts w:ascii="Arial" w:cs="Arial" w:eastAsia="Arial" w:hAnsi="Arial"/>
          <w:sz w:val="16"/>
          <w:szCs w:val="16"/>
          <w:color w:val="auto"/>
        </w:rPr>
        <w:t>addresses other specific issues regarding management development and compensation as needed.</w:t>
      </w:r>
    </w:p>
    <w:p>
      <w:pPr>
        <w:spacing w:after="0" w:line="162"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Periodically, the Committee also undertakes an extensive review of the competitiveness and appropriateness of certain pay practices such as severance and change in control arrangements.</w:t>
      </w:r>
    </w:p>
    <w:p>
      <w:pPr>
        <w:spacing w:after="0" w:line="199" w:lineRule="exact"/>
        <w:rPr>
          <w:sz w:val="20"/>
          <w:szCs w:val="20"/>
          <w:color w:val="auto"/>
        </w:rPr>
      </w:pPr>
    </w:p>
    <w:p>
      <w:pPr>
        <w:spacing w:after="0"/>
        <w:rPr>
          <w:sz w:val="20"/>
          <w:szCs w:val="20"/>
          <w:color w:val="auto"/>
        </w:rPr>
      </w:pPr>
      <w:r>
        <w:rPr>
          <w:rFonts w:ascii="Arial" w:cs="Arial" w:eastAsia="Arial" w:hAnsi="Arial"/>
          <w:sz w:val="23"/>
          <w:szCs w:val="23"/>
          <w:color w:val="auto"/>
        </w:rPr>
        <w:t>Engagement of Compensation Consultant</w:t>
      </w:r>
    </w:p>
    <w:p>
      <w:pPr>
        <w:spacing w:after="0" w:line="226" w:lineRule="exact"/>
        <w:rPr>
          <w:sz w:val="20"/>
          <w:szCs w:val="20"/>
          <w:color w:val="auto"/>
        </w:rPr>
      </w:pPr>
    </w:p>
    <w:p>
      <w:pPr>
        <w:ind w:right="200"/>
        <w:spacing w:after="0" w:line="245" w:lineRule="auto"/>
        <w:rPr>
          <w:sz w:val="20"/>
          <w:szCs w:val="20"/>
          <w:color w:val="auto"/>
        </w:rPr>
      </w:pPr>
      <w:r>
        <w:rPr>
          <w:rFonts w:ascii="Arial" w:cs="Arial" w:eastAsia="Arial" w:hAnsi="Arial"/>
          <w:sz w:val="16"/>
          <w:szCs w:val="16"/>
          <w:color w:val="auto"/>
        </w:rPr>
        <w:t>The Committee retains an external compensation consultant to provide independent advice, information and analysis on executive compensation. The Committee has established several practices to ensure the external consultant’s independence, candor and objectivity. The consultant is engaged by, has its compensation set by and reports directly to the Committee, frequently meets separately with the Committee (with no members of management present) and consults with the Committee Chair in between meetings. At each Committee meeting management reports fees paid for executive compensation consulting services performed by the consultant to the Committee, and the Committee approves in advance the executive compensation consulting services to be performed.</w:t>
      </w:r>
    </w:p>
    <w:p>
      <w:pPr>
        <w:spacing w:after="0" w:line="151"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The Committee retained WTW as its external consultant for fiscal 2021. Aggregate fees for WTW’s executive compensation consulting services provided to the Committee were $375,600. During fiscal 2021, WTW also performed global retirement plan actuarial, administrative and consulting, health care exchange and aviation insurance brokering services for the Company and provided “Talent &amp; Rewards” data surveys and proxy review services in addition to the work performed for the Committee. The aggregate fees for those services were $1,454,000.</w:t>
      </w:r>
    </w:p>
    <w:p>
      <w:pPr>
        <w:spacing w:after="0" w:line="151"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The decision to hire WTW for actuarial services was made over a decade ago after an extensive bid process. WTW is one of the few firms that is able to provide these services on a global basis. Decisions to hire WTW for the health care exchange and insurance brokering services were made by the responsible functional managers after a competitive bidding process. The decision to hire WTW for the global investment consulting services for its pension plans was made by the Pension Investment Committee and members of Treasury and Human Resources after a competitive bidding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7134225" cy="1707515"/>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7134225" cy="1707515"/>
                    </a:xfrm>
                    <a:prstGeom prst="rect">
                      <a:avLst/>
                    </a:prstGeom>
                    <a:noFill/>
                  </pic:spPr>
                </pic:pic>
              </a:graphicData>
            </a:graphic>
          </wp:anchor>
        </w:drawing>
      </w:r>
    </w:p>
    <w:p>
      <w:pPr>
        <w:spacing w:after="0" w:line="264" w:lineRule="exact"/>
        <w:rPr>
          <w:sz w:val="20"/>
          <w:szCs w:val="20"/>
          <w:color w:val="auto"/>
        </w:rPr>
      </w:pPr>
    </w:p>
    <w:p>
      <w:pPr>
        <w:ind w:left="140" w:right="160"/>
        <w:spacing w:after="0" w:line="245" w:lineRule="auto"/>
        <w:rPr>
          <w:sz w:val="20"/>
          <w:szCs w:val="20"/>
          <w:color w:val="auto"/>
        </w:rPr>
      </w:pPr>
      <w:r>
        <w:rPr>
          <w:rFonts w:ascii="Arial" w:cs="Arial" w:eastAsia="Arial" w:hAnsi="Arial"/>
          <w:sz w:val="16"/>
          <w:szCs w:val="16"/>
          <w:color w:val="auto"/>
        </w:rPr>
        <w:t>During fiscal 2021, WTW provided advice and analysis to the Committee on total direct compensation for individual executive officers, peer group composition, incentive plan performance measures, compensation program design and external trends and developments. WTW also provided an analysis of the alignment of pay delivered under the Company’s executive officer compensation program with its performance compared to peer group pay and performance, a governance and regulatory update, a third party pay equity review, a third party independent review of the Company’s executive compensation disclosures and an assessment of the potential relationship between the Company’s compensation program and risk-taking by management.</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Independence Assessment</w:t>
      </w:r>
    </w:p>
    <w:p>
      <w:pPr>
        <w:spacing w:after="0" w:line="209" w:lineRule="exact"/>
        <w:rPr>
          <w:sz w:val="20"/>
          <w:szCs w:val="20"/>
          <w:color w:val="auto"/>
        </w:rPr>
      </w:pPr>
    </w:p>
    <w:p>
      <w:pPr>
        <w:ind w:left="140" w:right="180"/>
        <w:spacing w:after="0" w:line="246" w:lineRule="auto"/>
        <w:rPr>
          <w:sz w:val="20"/>
          <w:szCs w:val="20"/>
          <w:color w:val="auto"/>
        </w:rPr>
      </w:pPr>
      <w:r>
        <w:rPr>
          <w:rFonts w:ascii="Arial" w:cs="Arial" w:eastAsia="Arial" w:hAnsi="Arial"/>
          <w:sz w:val="16"/>
          <w:szCs w:val="16"/>
          <w:color w:val="auto"/>
        </w:rPr>
        <w:t>The Committee assessed WTW’s independence and concluded that there are no conflicts of interest that would prevent WTW from independently advising the Committee. In making this determination, the Committee considered, among other things, the fees paid for services provided to management as a percentage of WTW’s consolidated revenues, policies and procedures established by WTW to mitigate conflicts of interest and the lack of business and personal relationships between WTW team members and the Company’s executive officers and Committee members.</w:t>
      </w:r>
    </w:p>
    <w:p>
      <w:pPr>
        <w:spacing w:after="0" w:line="26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7155180" cy="20955"/>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3"/>
          <w:szCs w:val="23"/>
          <w:color w:val="auto"/>
        </w:rPr>
        <w:t>Management Input</w:t>
      </w:r>
    </w:p>
    <w:p>
      <w:pPr>
        <w:spacing w:after="0" w:line="226" w:lineRule="exact"/>
        <w:rPr>
          <w:sz w:val="20"/>
          <w:szCs w:val="20"/>
          <w:color w:val="auto"/>
        </w:rPr>
      </w:pPr>
    </w:p>
    <w:p>
      <w:pPr>
        <w:ind w:right="280"/>
        <w:spacing w:after="0" w:line="287" w:lineRule="auto"/>
        <w:rPr>
          <w:sz w:val="20"/>
          <w:szCs w:val="20"/>
          <w:color w:val="auto"/>
        </w:rPr>
      </w:pPr>
      <w:r>
        <w:rPr>
          <w:rFonts w:ascii="Arial" w:cs="Arial" w:eastAsia="Arial" w:hAnsi="Arial"/>
          <w:sz w:val="15"/>
          <w:szCs w:val="15"/>
          <w:color w:val="auto"/>
        </w:rPr>
        <w:t>While the Committee determines overall compensation strategy and policies for the executive officers and approves their compensation, it seeks input from several executive officers and other management employees with respect to both overall guidelines and discrete compensation decisions. Specifically:</w:t>
      </w:r>
    </w:p>
    <w:p>
      <w:pPr>
        <w:spacing w:after="0" w:line="120" w:lineRule="exact"/>
        <w:rPr>
          <w:sz w:val="20"/>
          <w:szCs w:val="20"/>
          <w:color w:val="auto"/>
        </w:rPr>
      </w:pPr>
    </w:p>
    <w:p>
      <w:pPr>
        <w:ind w:left="400" w:right="360" w:hanging="194"/>
        <w:spacing w:after="0" w:line="254" w:lineRule="auto"/>
        <w:tabs>
          <w:tab w:leader="none" w:pos="400" w:val="left"/>
        </w:tabs>
        <w:numPr>
          <w:ilvl w:val="0"/>
          <w:numId w:val="46"/>
        </w:numPr>
        <w:rPr>
          <w:rFonts w:ascii="Arial" w:cs="Arial" w:eastAsia="Arial" w:hAnsi="Arial"/>
          <w:sz w:val="16"/>
          <w:szCs w:val="16"/>
          <w:color w:val="009A4B"/>
        </w:rPr>
      </w:pPr>
      <w:r>
        <w:rPr>
          <w:rFonts w:ascii="Arial" w:cs="Arial" w:eastAsia="Arial" w:hAnsi="Arial"/>
          <w:sz w:val="16"/>
          <w:szCs w:val="16"/>
          <w:color w:val="auto"/>
        </w:rPr>
        <w:t>Human Resources staff work with the Committee to develop the design of compensation programs and decision-making frameworks for determining compensation levels;</w:t>
      </w:r>
    </w:p>
    <w:p>
      <w:pPr>
        <w:spacing w:after="0" w:line="89" w:lineRule="exact"/>
        <w:rPr>
          <w:rFonts w:ascii="Arial" w:cs="Arial" w:eastAsia="Arial" w:hAnsi="Arial"/>
          <w:sz w:val="16"/>
          <w:szCs w:val="16"/>
          <w:color w:val="009A4B"/>
        </w:rPr>
      </w:pPr>
    </w:p>
    <w:p>
      <w:pPr>
        <w:ind w:left="400" w:right="480" w:hanging="194"/>
        <w:spacing w:after="0" w:line="254" w:lineRule="auto"/>
        <w:tabs>
          <w:tab w:leader="none" w:pos="400" w:val="left"/>
        </w:tabs>
        <w:numPr>
          <w:ilvl w:val="0"/>
          <w:numId w:val="46"/>
        </w:numPr>
        <w:rPr>
          <w:rFonts w:ascii="Arial" w:cs="Arial" w:eastAsia="Arial" w:hAnsi="Arial"/>
          <w:sz w:val="16"/>
          <w:szCs w:val="16"/>
          <w:color w:val="009A4B"/>
        </w:rPr>
      </w:pPr>
      <w:r>
        <w:rPr>
          <w:rFonts w:ascii="Arial" w:cs="Arial" w:eastAsia="Arial" w:hAnsi="Arial"/>
          <w:sz w:val="16"/>
          <w:szCs w:val="16"/>
          <w:color w:val="auto"/>
        </w:rPr>
        <w:t>the CEO provides input to the Committee on the forms of incentive compensation and performance measures that will best support the Company’s strategic goals;</w:t>
      </w:r>
    </w:p>
    <w:p>
      <w:pPr>
        <w:spacing w:after="0" w:line="89" w:lineRule="exact"/>
        <w:rPr>
          <w:rFonts w:ascii="Arial" w:cs="Arial" w:eastAsia="Arial" w:hAnsi="Arial"/>
          <w:sz w:val="16"/>
          <w:szCs w:val="16"/>
          <w:color w:val="009A4B"/>
        </w:rPr>
      </w:pPr>
    </w:p>
    <w:p>
      <w:pPr>
        <w:ind w:left="400" w:right="180" w:hanging="194"/>
        <w:spacing w:after="0" w:line="254" w:lineRule="auto"/>
        <w:tabs>
          <w:tab w:leader="none" w:pos="400" w:val="left"/>
        </w:tabs>
        <w:numPr>
          <w:ilvl w:val="0"/>
          <w:numId w:val="46"/>
        </w:numPr>
        <w:rPr>
          <w:rFonts w:ascii="Arial" w:cs="Arial" w:eastAsia="Arial" w:hAnsi="Arial"/>
          <w:sz w:val="16"/>
          <w:szCs w:val="16"/>
          <w:color w:val="009A4B"/>
        </w:rPr>
      </w:pPr>
      <w:r>
        <w:rPr>
          <w:rFonts w:ascii="Arial" w:cs="Arial" w:eastAsia="Arial" w:hAnsi="Arial"/>
          <w:sz w:val="16"/>
          <w:szCs w:val="16"/>
          <w:color w:val="auto"/>
        </w:rPr>
        <w:t>the CEO provides the Committee perspective on the performance of the other executive officers and develops and recommends compensation actions for the other executive officers in consultation with Human Resources and based on competitive market analysis;</w:t>
      </w:r>
    </w:p>
    <w:p>
      <w:pPr>
        <w:spacing w:after="0" w:line="89" w:lineRule="exact"/>
        <w:rPr>
          <w:rFonts w:ascii="Arial" w:cs="Arial" w:eastAsia="Arial" w:hAnsi="Arial"/>
          <w:sz w:val="16"/>
          <w:szCs w:val="16"/>
          <w:color w:val="009A4B"/>
        </w:rPr>
      </w:pPr>
    </w:p>
    <w:p>
      <w:pPr>
        <w:ind w:left="400" w:hanging="194"/>
        <w:spacing w:after="0"/>
        <w:tabs>
          <w:tab w:leader="none" w:pos="400" w:val="left"/>
        </w:tabs>
        <w:numPr>
          <w:ilvl w:val="0"/>
          <w:numId w:val="46"/>
        </w:numPr>
        <w:rPr>
          <w:rFonts w:ascii="Arial" w:cs="Arial" w:eastAsia="Arial" w:hAnsi="Arial"/>
          <w:sz w:val="16"/>
          <w:szCs w:val="16"/>
          <w:color w:val="009A4B"/>
        </w:rPr>
      </w:pPr>
      <w:r>
        <w:rPr>
          <w:rFonts w:ascii="Arial" w:cs="Arial" w:eastAsia="Arial" w:hAnsi="Arial"/>
          <w:sz w:val="16"/>
          <w:szCs w:val="16"/>
          <w:color w:val="auto"/>
        </w:rPr>
        <w:t>the CFO provides background to the Committee regarding the Company’s key financial objectives and performance against them; and</w:t>
      </w:r>
    </w:p>
    <w:p>
      <w:pPr>
        <w:spacing w:after="0" w:line="162" w:lineRule="exact"/>
        <w:rPr>
          <w:rFonts w:ascii="Arial" w:cs="Arial" w:eastAsia="Arial" w:hAnsi="Arial"/>
          <w:sz w:val="16"/>
          <w:szCs w:val="16"/>
          <w:color w:val="009A4B"/>
        </w:rPr>
      </w:pPr>
    </w:p>
    <w:p>
      <w:pPr>
        <w:ind w:left="400" w:hanging="194"/>
        <w:spacing w:after="0"/>
        <w:tabs>
          <w:tab w:leader="none" w:pos="400" w:val="left"/>
        </w:tabs>
        <w:numPr>
          <w:ilvl w:val="0"/>
          <w:numId w:val="46"/>
        </w:numPr>
        <w:rPr>
          <w:rFonts w:ascii="Arial" w:cs="Arial" w:eastAsia="Arial" w:hAnsi="Arial"/>
          <w:sz w:val="16"/>
          <w:szCs w:val="16"/>
          <w:color w:val="009A4B"/>
        </w:rPr>
      </w:pPr>
      <w:r>
        <w:rPr>
          <w:rFonts w:ascii="Arial" w:cs="Arial" w:eastAsia="Arial" w:hAnsi="Arial"/>
          <w:sz w:val="16"/>
          <w:szCs w:val="16"/>
          <w:color w:val="auto"/>
        </w:rPr>
        <w:t>the Company’s Legal and Human Resources staff provide technical advice and other support to the Committee.</w:t>
      </w:r>
    </w:p>
    <w:p>
      <w:pPr>
        <w:spacing w:after="0" w:line="215"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The executive officers and employees attend portions of the Committee meetings; however, the Committee meets in executive session both alone and with its external compensation consultant to reach final decisions about CEO and other executive officers’ compensation.</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color w:val="009A4B"/>
        </w:rPr>
        <w:t>Benchmarking</w:t>
      </w:r>
    </w:p>
    <w:p>
      <w:pPr>
        <w:spacing w:after="0" w:line="219"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The Committee believes that a threshold characteristic of reasonable compensation is that it is aligned with compensation provided by companies the Company competes against for talent. In preparation for determining fiscal 2021 compensation, the Committee benchmarked executive officer compensation levels to evaluate the competitiveness of the program and as a reference for establishing compensation levels for fiscal 2021.</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Committee uses two peer groups for benchmarking, which it reviews annually.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009A4B"/>
        </w:rPr>
        <w:t>PEER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866140</wp:posOffset>
            </wp:positionH>
            <wp:positionV relativeFrom="paragraph">
              <wp:posOffset>-57150</wp:posOffset>
            </wp:positionV>
            <wp:extent cx="6271895" cy="8255"/>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6271895" cy="8255"/>
                    </a:xfrm>
                    <a:prstGeom prst="rect">
                      <a:avLst/>
                    </a:prstGeom>
                    <a:noFill/>
                  </pic:spPr>
                </pic:pic>
              </a:graphicData>
            </a:graphic>
          </wp:anchor>
        </w:drawing>
      </w:r>
    </w:p>
    <w:p>
      <w:pPr>
        <w:spacing w:after="0" w:line="248" w:lineRule="exact"/>
        <w:rPr>
          <w:sz w:val="20"/>
          <w:szCs w:val="20"/>
          <w:color w:val="auto"/>
        </w:rPr>
      </w:pPr>
    </w:p>
    <w:p>
      <w:pPr>
        <w:ind w:left="40"/>
        <w:spacing w:after="0"/>
        <w:tabs>
          <w:tab w:leader="none" w:pos="2820" w:val="left"/>
          <w:tab w:leader="none" w:pos="5680" w:val="left"/>
          <w:tab w:leader="none" w:pos="854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Criteria</w:t>
      </w:r>
      <w:r>
        <w:rPr>
          <w:sz w:val="20"/>
          <w:szCs w:val="20"/>
          <w:color w:val="auto"/>
        </w:rPr>
        <w:tab/>
      </w:r>
      <w:r>
        <w:rPr>
          <w:rFonts w:ascii="Arial" w:cs="Arial" w:eastAsia="Arial" w:hAnsi="Arial"/>
          <w:sz w:val="14"/>
          <w:szCs w:val="14"/>
          <w:b w:val="1"/>
          <w:bCs w:val="1"/>
          <w:color w:val="auto"/>
        </w:rPr>
        <w:t>Purpose</w:t>
      </w:r>
      <w:r>
        <w:rPr>
          <w:sz w:val="20"/>
          <w:szCs w:val="20"/>
          <w:color w:val="auto"/>
        </w:rPr>
        <w:tab/>
      </w:r>
      <w:r>
        <w:rPr>
          <w:rFonts w:ascii="Arial" w:cs="Arial" w:eastAsia="Arial" w:hAnsi="Arial"/>
          <w:sz w:val="14"/>
          <w:szCs w:val="14"/>
          <w:b w:val="1"/>
          <w:bCs w:val="1"/>
          <w:color w:val="auto"/>
        </w:rPr>
        <w:t>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7134225" cy="17145"/>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p>
      <w:pPr>
        <w:spacing w:after="0" w:line="94" w:lineRule="exact"/>
        <w:rPr>
          <w:sz w:val="20"/>
          <w:szCs w:val="20"/>
          <w:color w:val="auto"/>
        </w:rPr>
      </w:pPr>
    </w:p>
    <w:p>
      <w:pPr>
        <w:ind w:left="40"/>
        <w:spacing w:after="0"/>
        <w:tabs>
          <w:tab w:leader="none" w:pos="2820" w:val="left"/>
        </w:tabs>
        <w:rPr>
          <w:sz w:val="20"/>
          <w:szCs w:val="20"/>
          <w:color w:val="auto"/>
        </w:rPr>
      </w:pPr>
      <w:r>
        <w:rPr>
          <w:rFonts w:ascii="Arial" w:cs="Arial" w:eastAsia="Arial" w:hAnsi="Arial"/>
          <w:sz w:val="16"/>
          <w:szCs w:val="16"/>
          <w:color w:val="auto"/>
        </w:rPr>
        <w:t>Survey Reference Group</w:t>
      </w:r>
      <w:r>
        <w:rPr>
          <w:sz w:val="20"/>
          <w:szCs w:val="20"/>
          <w:color w:val="auto"/>
        </w:rPr>
        <w:tab/>
      </w:r>
      <w:r>
        <w:rPr>
          <w:rFonts w:ascii="Arial" w:cs="Arial" w:eastAsia="Arial" w:hAnsi="Arial"/>
          <w:sz w:val="15"/>
          <w:szCs w:val="15"/>
          <w:color w:val="auto"/>
        </w:rPr>
        <w:t>Broad group of industrial companies</w:t>
      </w:r>
    </w:p>
    <w:p>
      <w:pPr>
        <w:spacing w:after="0" w:line="2"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with $7-13 billion in annual revenue</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tabs>
          <w:tab w:leader="none" w:pos="2840" w:val="left"/>
        </w:tabs>
        <w:rPr>
          <w:sz w:val="20"/>
          <w:szCs w:val="20"/>
          <w:color w:val="auto"/>
        </w:rPr>
      </w:pPr>
      <w:r>
        <w:rPr>
          <w:rFonts w:ascii="Arial" w:cs="Arial" w:eastAsia="Arial" w:hAnsi="Arial"/>
          <w:sz w:val="16"/>
          <w:szCs w:val="16"/>
          <w:color w:val="auto"/>
        </w:rPr>
        <w:t>Benchmark competitive executive</w:t>
      </w:r>
      <w:r>
        <w:rPr>
          <w:sz w:val="20"/>
          <w:szCs w:val="20"/>
          <w:color w:val="auto"/>
        </w:rPr>
        <w:tab/>
      </w:r>
      <w:r>
        <w:rPr>
          <w:rFonts w:ascii="Arial" w:cs="Arial" w:eastAsia="Arial" w:hAnsi="Arial"/>
          <w:sz w:val="15"/>
          <w:szCs w:val="15"/>
          <w:color w:val="auto"/>
        </w:rPr>
        <w:t>WTW and Mercer surveys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officer direct compensation levels at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-3615055</wp:posOffset>
            </wp:positionH>
            <wp:positionV relativeFrom="paragraph">
              <wp:posOffset>635</wp:posOffset>
            </wp:positionV>
            <wp:extent cx="7134225" cy="8255"/>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5400" w:space="300"/>
            <w:col w:w="5520"/>
          </w:cols>
          <w:pgMar w:left="320" w:top="140" w:right="359" w:bottom="1440" w:gutter="0" w:footer="0" w:header="0"/>
          <w:type w:val="continuous"/>
        </w:sectPr>
      </w:pPr>
    </w:p>
    <w:p>
      <w:pPr>
        <w:ind w:left="40"/>
        <w:spacing w:after="0"/>
        <w:tabs>
          <w:tab w:leader="none" w:pos="2820" w:val="left"/>
        </w:tabs>
        <w:rPr>
          <w:sz w:val="20"/>
          <w:szCs w:val="20"/>
          <w:color w:val="auto"/>
        </w:rPr>
      </w:pPr>
      <w:r>
        <w:rPr>
          <w:rFonts w:ascii="Arial" w:cs="Arial" w:eastAsia="Arial" w:hAnsi="Arial"/>
          <w:sz w:val="16"/>
          <w:szCs w:val="16"/>
          <w:color w:val="auto"/>
        </w:rPr>
        <w:t>Peer Reference Group</w:t>
      </w:r>
      <w:r>
        <w:rPr>
          <w:sz w:val="20"/>
          <w:szCs w:val="20"/>
          <w:color w:val="auto"/>
        </w:rPr>
        <w:tab/>
      </w:r>
      <w:r>
        <w:rPr>
          <w:rFonts w:ascii="Arial" w:cs="Arial" w:eastAsia="Arial" w:hAnsi="Arial"/>
          <w:sz w:val="15"/>
          <w:szCs w:val="15"/>
          <w:color w:val="auto"/>
        </w:rPr>
        <w:t>Chemical and industrial companies</w:t>
      </w:r>
    </w:p>
    <w:p>
      <w:pPr>
        <w:spacing w:after="0" w:line="2"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with similar capital structure, asset</w:t>
      </w:r>
    </w:p>
    <w:p>
      <w:pPr>
        <w:spacing w:after="0" w:line="2"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intensity and profitability to</w:t>
      </w:r>
    </w:p>
    <w:p>
      <w:pPr>
        <w:spacing w:after="0" w:line="2"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Company</w:t>
      </w:r>
    </w:p>
    <w:p>
      <w:pPr>
        <w:spacing w:after="0" w:line="20" w:lineRule="exact"/>
        <w:rPr>
          <w:sz w:val="20"/>
          <w:szCs w:val="20"/>
          <w:color w:val="auto"/>
        </w:rPr>
      </w:pPr>
      <w:r>
        <w:rPr>
          <w:sz w:val="20"/>
          <w:szCs w:val="20"/>
          <w:color w:val="auto"/>
        </w:rPr>
        <w:br w:type="column"/>
      </w:r>
    </w:p>
    <w:p>
      <w:pPr>
        <w:spacing w:after="0"/>
        <w:tabs>
          <w:tab w:leader="none" w:pos="2840" w:val="left"/>
        </w:tabs>
        <w:rPr>
          <w:sz w:val="20"/>
          <w:szCs w:val="20"/>
          <w:color w:val="auto"/>
        </w:rPr>
      </w:pPr>
      <w:r>
        <w:rPr>
          <w:rFonts w:ascii="Arial" w:cs="Arial" w:eastAsia="Arial" w:hAnsi="Arial"/>
          <w:sz w:val="16"/>
          <w:szCs w:val="16"/>
          <w:color w:val="auto"/>
        </w:rPr>
        <w:t>Benchmark competitive direct</w:t>
      </w:r>
      <w:r>
        <w:rPr>
          <w:sz w:val="20"/>
          <w:szCs w:val="20"/>
          <w:color w:val="auto"/>
        </w:rPr>
        <w:tab/>
      </w:r>
      <w:r>
        <w:rPr>
          <w:rFonts w:ascii="Arial" w:cs="Arial" w:eastAsia="Arial" w:hAnsi="Arial"/>
          <w:sz w:val="15"/>
          <w:szCs w:val="15"/>
          <w:color w:val="auto"/>
        </w:rPr>
        <w:t>Compiled from proxy statement filings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compensation levels for CEO and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CFO, pay practice and pay for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performance assessment and to</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determine performance share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relative TSR for performance share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grants made through fiscal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-3615055</wp:posOffset>
            </wp:positionH>
            <wp:positionV relativeFrom="paragraph">
              <wp:posOffset>635</wp:posOffset>
            </wp:positionV>
            <wp:extent cx="7134225" cy="17145"/>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5320" w:space="380"/>
            <w:col w:w="5520"/>
          </w:cols>
          <w:pgMar w:left="320" w:top="140" w:right="359" w:bottom="1440" w:gutter="0" w:footer="0" w:header="0"/>
          <w:type w:val="continuous"/>
        </w:sectPr>
      </w:pPr>
    </w:p>
    <w:p>
      <w:pPr>
        <w:spacing w:after="0"/>
        <w:rPr>
          <w:sz w:val="20"/>
          <w:szCs w:val="20"/>
          <w:color w:val="auto"/>
        </w:rPr>
      </w:pPr>
      <w:r>
        <w:rPr>
          <w:rFonts w:ascii="Arial" w:cs="Arial" w:eastAsia="Arial" w:hAnsi="Arial"/>
          <w:sz w:val="16"/>
          <w:szCs w:val="16"/>
          <w:color w:val="auto"/>
        </w:rPr>
        <w:t>For purposes of assessing competitiveness and recommending compensation levels for fiscal 2021, the Committee used survey data from WTW and Mercer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compensation databases on a group of industrial companies with annual revenue of $7 to $13 billion (consistent with the Company’s fiscal 2020 revenue of</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$8.9 billion) (the “Survey Reference Group”). The Survey Reference Group is representative of the companies the Company competes against for talent and is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used by the Company for various compensation benchmarking purposes, not just executive officer compensation. A list of companies included in the Survey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Reference Group is provided in Appendix B.</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Prior to the beginning of the fiscal year, the Committee reviewed an assessment of each named executive officer’s compensation level relative to the Survey</w:t>
      </w:r>
    </w:p>
    <w:p>
      <w:pPr>
        <w:ind w:right="140"/>
        <w:spacing w:after="0" w:line="218" w:lineRule="auto"/>
        <w:rPr>
          <w:sz w:val="20"/>
          <w:szCs w:val="20"/>
          <w:color w:val="auto"/>
        </w:rPr>
      </w:pPr>
      <w:r>
        <w:rPr>
          <w:rFonts w:ascii="Arial" w:cs="Arial" w:eastAsia="Arial" w:hAnsi="Arial"/>
          <w:sz w:val="16"/>
          <w:szCs w:val="16"/>
          <w:color w:val="auto"/>
        </w:rPr>
        <w:t>Reference Group based on similar functional responsibilities. The assessment identified median,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and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levels for base salary, target annual incentive, target long-term incentives and target total direct compensation. Annual and long-term incentive levels reflected a three-year average to reduce volatility in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97790</wp:posOffset>
            </wp:positionV>
            <wp:extent cx="845185" cy="202565"/>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845185" cy="20256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7155180" cy="20955"/>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The Committee also reviewed proxy data compiled from the Peer Reference Group, which is a smaller group of companies that are competitors of the Company or are similar to the Company in that they are chemical or other industrial companies with similar capital structures, asset intensity, operating margins and business models (the “Peer Reference Group”). Peer Reference Group companies are generally similar in revenue size to the Company, however certain companies with higher revenues are included based on similarity of business model. The Committee used the Peer Reference Group for benchmarking specific pay practices and for assessing alignment of pay with performance. In addition, the Committee also uses the Peer Reference Group to assess competitive compensation levels for CEO and CFO total direct compensation. Because proxy data does not necessarily reflect similar positions to the other executive officers, only the Survey Reference Group is used to benchmark pay levels for them. The Peer Reference Group is also used for determining the Company’s relative TSR performance for purposes of performance share payouts.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fiscal 2021 Peer Reference Group consisted of the following companies: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373"/>
        </w:trPr>
        <w:tc>
          <w:tcPr>
            <w:tcW w:w="3180" w:type="dxa"/>
            <w:vAlign w:val="bottom"/>
            <w:shd w:val="clear" w:color="auto" w:fill="E7E7E8"/>
          </w:tcPr>
          <w:p>
            <w:pPr>
              <w:ind w:left="140"/>
              <w:spacing w:after="0"/>
              <w:rPr>
                <w:sz w:val="20"/>
                <w:szCs w:val="20"/>
                <w:color w:val="auto"/>
              </w:rPr>
            </w:pPr>
            <w:r>
              <w:rPr>
                <w:rFonts w:ascii="Arial" w:cs="Arial" w:eastAsia="Arial" w:hAnsi="Arial"/>
                <w:sz w:val="16"/>
                <w:szCs w:val="16"/>
                <w:color w:val="auto"/>
              </w:rPr>
              <w:t>Celanese Corporation</w:t>
            </w:r>
          </w:p>
        </w:tc>
        <w:tc>
          <w:tcPr>
            <w:tcW w:w="4000" w:type="dxa"/>
            <w:vAlign w:val="bottom"/>
            <w:shd w:val="clear" w:color="auto" w:fill="E7E7E8"/>
          </w:tcPr>
          <w:p>
            <w:pPr>
              <w:ind w:left="260"/>
              <w:spacing w:after="0"/>
              <w:rPr>
                <w:sz w:val="20"/>
                <w:szCs w:val="20"/>
                <w:color w:val="auto"/>
              </w:rPr>
            </w:pPr>
            <w:r>
              <w:rPr>
                <w:rFonts w:ascii="Arial" w:cs="Arial" w:eastAsia="Arial" w:hAnsi="Arial"/>
                <w:sz w:val="16"/>
                <w:szCs w:val="16"/>
                <w:color w:val="auto"/>
              </w:rPr>
              <w:t>Ecolab Inc.</w:t>
            </w:r>
          </w:p>
        </w:tc>
        <w:tc>
          <w:tcPr>
            <w:tcW w:w="4060" w:type="dxa"/>
            <w:vAlign w:val="bottom"/>
            <w:shd w:val="clear" w:color="auto" w:fill="E7E7E8"/>
          </w:tcPr>
          <w:p>
            <w:pPr>
              <w:ind w:left="140"/>
              <w:spacing w:after="0"/>
              <w:rPr>
                <w:sz w:val="20"/>
                <w:szCs w:val="20"/>
                <w:color w:val="auto"/>
              </w:rPr>
            </w:pPr>
            <w:r>
              <w:rPr>
                <w:rFonts w:ascii="Arial" w:cs="Arial" w:eastAsia="Arial" w:hAnsi="Arial"/>
                <w:sz w:val="16"/>
                <w:szCs w:val="16"/>
                <w:color w:val="auto"/>
              </w:rPr>
              <w:t>Olin Corporation</w:t>
            </w:r>
          </w:p>
        </w:tc>
      </w:tr>
      <w:tr>
        <w:trPr>
          <w:trHeight w:val="240"/>
        </w:trPr>
        <w:tc>
          <w:tcPr>
            <w:tcW w:w="3180" w:type="dxa"/>
            <w:vAlign w:val="bottom"/>
            <w:shd w:val="clear" w:color="auto" w:fill="E7E7E8"/>
          </w:tcPr>
          <w:p>
            <w:pPr>
              <w:ind w:left="140"/>
              <w:spacing w:after="0"/>
              <w:rPr>
                <w:sz w:val="20"/>
                <w:szCs w:val="20"/>
                <w:color w:val="auto"/>
              </w:rPr>
            </w:pPr>
            <w:r>
              <w:rPr>
                <w:rFonts w:ascii="Arial" w:cs="Arial" w:eastAsia="Arial" w:hAnsi="Arial"/>
                <w:sz w:val="16"/>
                <w:szCs w:val="16"/>
                <w:color w:val="auto"/>
              </w:rPr>
              <w:t>The Chemours Company</w:t>
            </w:r>
          </w:p>
        </w:tc>
        <w:tc>
          <w:tcPr>
            <w:tcW w:w="4000" w:type="dxa"/>
            <w:vAlign w:val="bottom"/>
            <w:shd w:val="clear" w:color="auto" w:fill="E7E7E8"/>
          </w:tcPr>
          <w:p>
            <w:pPr>
              <w:ind w:left="260"/>
              <w:spacing w:after="0"/>
              <w:rPr>
                <w:sz w:val="20"/>
                <w:szCs w:val="20"/>
                <w:color w:val="auto"/>
              </w:rPr>
            </w:pPr>
            <w:r>
              <w:rPr>
                <w:rFonts w:ascii="Arial" w:cs="Arial" w:eastAsia="Arial" w:hAnsi="Arial"/>
                <w:sz w:val="16"/>
                <w:szCs w:val="16"/>
                <w:color w:val="auto"/>
              </w:rPr>
              <w:t>Huntsman Corporation</w:t>
            </w:r>
          </w:p>
        </w:tc>
        <w:tc>
          <w:tcPr>
            <w:tcW w:w="4060" w:type="dxa"/>
            <w:vAlign w:val="bottom"/>
            <w:shd w:val="clear" w:color="auto" w:fill="E7E7E8"/>
          </w:tcPr>
          <w:p>
            <w:pPr>
              <w:ind w:left="140"/>
              <w:spacing w:after="0"/>
              <w:rPr>
                <w:sz w:val="20"/>
                <w:szCs w:val="20"/>
                <w:color w:val="auto"/>
              </w:rPr>
            </w:pPr>
            <w:r>
              <w:rPr>
                <w:rFonts w:ascii="Arial" w:cs="Arial" w:eastAsia="Arial" w:hAnsi="Arial"/>
                <w:sz w:val="16"/>
                <w:szCs w:val="16"/>
                <w:color w:val="auto"/>
              </w:rPr>
              <w:t>Parker-Hannifin Corporation</w:t>
            </w:r>
          </w:p>
        </w:tc>
      </w:tr>
      <w:tr>
        <w:trPr>
          <w:trHeight w:val="240"/>
        </w:trPr>
        <w:tc>
          <w:tcPr>
            <w:tcW w:w="3180" w:type="dxa"/>
            <w:vAlign w:val="bottom"/>
            <w:shd w:val="clear" w:color="auto" w:fill="E7E7E8"/>
          </w:tcPr>
          <w:p>
            <w:pPr>
              <w:ind w:left="140"/>
              <w:spacing w:after="0"/>
              <w:rPr>
                <w:sz w:val="20"/>
                <w:szCs w:val="20"/>
                <w:color w:val="auto"/>
              </w:rPr>
            </w:pPr>
            <w:r>
              <w:rPr>
                <w:rFonts w:ascii="Arial" w:cs="Arial" w:eastAsia="Arial" w:hAnsi="Arial"/>
                <w:sz w:val="16"/>
                <w:szCs w:val="16"/>
                <w:color w:val="auto"/>
              </w:rPr>
              <w:t>Dover Corporation</w:t>
            </w:r>
          </w:p>
        </w:tc>
        <w:tc>
          <w:tcPr>
            <w:tcW w:w="4000" w:type="dxa"/>
            <w:vAlign w:val="bottom"/>
            <w:shd w:val="clear" w:color="auto" w:fill="E7E7E8"/>
          </w:tcPr>
          <w:p>
            <w:pPr>
              <w:ind w:left="260"/>
              <w:spacing w:after="0"/>
              <w:rPr>
                <w:sz w:val="20"/>
                <w:szCs w:val="20"/>
                <w:color w:val="auto"/>
              </w:rPr>
            </w:pPr>
            <w:r>
              <w:rPr>
                <w:rFonts w:ascii="Arial" w:cs="Arial" w:eastAsia="Arial" w:hAnsi="Arial"/>
                <w:sz w:val="16"/>
                <w:szCs w:val="16"/>
                <w:color w:val="auto"/>
              </w:rPr>
              <w:t>Illinois Tool Works Inc.</w:t>
            </w:r>
          </w:p>
        </w:tc>
        <w:tc>
          <w:tcPr>
            <w:tcW w:w="4060" w:type="dxa"/>
            <w:vAlign w:val="bottom"/>
            <w:shd w:val="clear" w:color="auto" w:fill="E7E7E8"/>
          </w:tcPr>
          <w:p>
            <w:pPr>
              <w:ind w:left="140"/>
              <w:spacing w:after="0"/>
              <w:rPr>
                <w:sz w:val="20"/>
                <w:szCs w:val="20"/>
                <w:color w:val="auto"/>
              </w:rPr>
            </w:pPr>
            <w:r>
              <w:rPr>
                <w:rFonts w:ascii="Arial" w:cs="Arial" w:eastAsia="Arial" w:hAnsi="Arial"/>
                <w:sz w:val="16"/>
                <w:szCs w:val="16"/>
                <w:color w:val="auto"/>
              </w:rPr>
              <w:t>PPG Industries, Inc.</w:t>
            </w:r>
          </w:p>
        </w:tc>
      </w:tr>
      <w:tr>
        <w:trPr>
          <w:trHeight w:val="240"/>
        </w:trPr>
        <w:tc>
          <w:tcPr>
            <w:tcW w:w="3180" w:type="dxa"/>
            <w:vAlign w:val="bottom"/>
            <w:shd w:val="clear" w:color="auto" w:fill="E7E7E8"/>
          </w:tcPr>
          <w:p>
            <w:pPr>
              <w:ind w:left="140"/>
              <w:spacing w:after="0"/>
              <w:rPr>
                <w:sz w:val="20"/>
                <w:szCs w:val="20"/>
                <w:color w:val="auto"/>
              </w:rPr>
            </w:pPr>
            <w:r>
              <w:rPr>
                <w:rFonts w:ascii="Arial" w:cs="Arial" w:eastAsia="Arial" w:hAnsi="Arial"/>
                <w:sz w:val="16"/>
                <w:szCs w:val="16"/>
                <w:color w:val="auto"/>
              </w:rPr>
              <w:t>DuPont de Nemours, Inc.</w:t>
            </w:r>
          </w:p>
        </w:tc>
        <w:tc>
          <w:tcPr>
            <w:tcW w:w="4000" w:type="dxa"/>
            <w:vAlign w:val="bottom"/>
            <w:shd w:val="clear" w:color="auto" w:fill="E7E7E8"/>
          </w:tcPr>
          <w:p>
            <w:pPr>
              <w:ind w:left="260"/>
              <w:spacing w:after="0"/>
              <w:rPr>
                <w:sz w:val="20"/>
                <w:szCs w:val="20"/>
                <w:color w:val="auto"/>
              </w:rPr>
            </w:pPr>
            <w:r>
              <w:rPr>
                <w:rFonts w:ascii="Arial" w:cs="Arial" w:eastAsia="Arial" w:hAnsi="Arial"/>
                <w:sz w:val="16"/>
                <w:szCs w:val="16"/>
                <w:color w:val="auto"/>
              </w:rPr>
              <w:t>Ingersoll-Rand Inc.</w:t>
            </w:r>
          </w:p>
        </w:tc>
        <w:tc>
          <w:tcPr>
            <w:tcW w:w="4060" w:type="dxa"/>
            <w:vAlign w:val="bottom"/>
            <w:shd w:val="clear" w:color="auto" w:fill="E7E7E8"/>
          </w:tcPr>
          <w:p>
            <w:pPr>
              <w:ind w:left="140"/>
              <w:spacing w:after="0"/>
              <w:rPr>
                <w:sz w:val="20"/>
                <w:szCs w:val="20"/>
                <w:color w:val="auto"/>
              </w:rPr>
            </w:pPr>
            <w:r>
              <w:rPr>
                <w:rFonts w:ascii="Arial" w:cs="Arial" w:eastAsia="Arial" w:hAnsi="Arial"/>
                <w:sz w:val="16"/>
                <w:szCs w:val="16"/>
                <w:color w:val="auto"/>
              </w:rPr>
              <w:t>Westlake Chemical Corporation</w:t>
            </w:r>
          </w:p>
        </w:tc>
      </w:tr>
      <w:tr>
        <w:trPr>
          <w:trHeight w:val="248"/>
        </w:trPr>
        <w:tc>
          <w:tcPr>
            <w:tcW w:w="3180" w:type="dxa"/>
            <w:vAlign w:val="bottom"/>
            <w:shd w:val="clear" w:color="auto" w:fill="E7E7E8"/>
          </w:tcPr>
          <w:p>
            <w:pPr>
              <w:ind w:left="140"/>
              <w:spacing w:after="0"/>
              <w:rPr>
                <w:sz w:val="20"/>
                <w:szCs w:val="20"/>
                <w:color w:val="auto"/>
              </w:rPr>
            </w:pPr>
            <w:r>
              <w:rPr>
                <w:rFonts w:ascii="Arial" w:cs="Arial" w:eastAsia="Arial" w:hAnsi="Arial"/>
                <w:sz w:val="16"/>
                <w:szCs w:val="16"/>
                <w:color w:val="auto"/>
              </w:rPr>
              <w:t>Eastman Chemical Company</w:t>
            </w:r>
          </w:p>
        </w:tc>
        <w:tc>
          <w:tcPr>
            <w:tcW w:w="4000" w:type="dxa"/>
            <w:vAlign w:val="bottom"/>
            <w:shd w:val="clear" w:color="auto" w:fill="E7E7E8"/>
          </w:tcPr>
          <w:p>
            <w:pPr>
              <w:ind w:left="260"/>
              <w:spacing w:after="0"/>
              <w:rPr>
                <w:sz w:val="20"/>
                <w:szCs w:val="20"/>
                <w:color w:val="auto"/>
              </w:rPr>
            </w:pPr>
            <w:r>
              <w:rPr>
                <w:rFonts w:ascii="Arial" w:cs="Arial" w:eastAsia="Arial" w:hAnsi="Arial"/>
                <w:sz w:val="16"/>
                <w:szCs w:val="16"/>
                <w:color w:val="auto"/>
              </w:rPr>
              <w:t>Linde plc.</w:t>
            </w:r>
          </w:p>
        </w:tc>
        <w:tc>
          <w:tcPr>
            <w:tcW w:w="4060" w:type="dxa"/>
            <w:vAlign w:val="bottom"/>
            <w:shd w:val="clear" w:color="auto" w:fill="E7E7E8"/>
          </w:tcPr>
          <w:p>
            <w:pPr>
              <w:spacing w:after="0"/>
              <w:rPr>
                <w:sz w:val="21"/>
                <w:szCs w:val="21"/>
                <w:color w:val="auto"/>
              </w:rPr>
            </w:pPr>
          </w:p>
        </w:tc>
      </w:tr>
      <w:tr>
        <w:trPr>
          <w:trHeight w:val="125"/>
        </w:trPr>
        <w:tc>
          <w:tcPr>
            <w:tcW w:w="3180" w:type="dxa"/>
            <w:vAlign w:val="bottom"/>
            <w:shd w:val="clear" w:color="auto" w:fill="E7E7E8"/>
          </w:tcPr>
          <w:p>
            <w:pPr>
              <w:spacing w:after="0"/>
              <w:rPr>
                <w:sz w:val="10"/>
                <w:szCs w:val="10"/>
                <w:color w:val="auto"/>
              </w:rPr>
            </w:pPr>
          </w:p>
        </w:tc>
        <w:tc>
          <w:tcPr>
            <w:tcW w:w="4000" w:type="dxa"/>
            <w:vAlign w:val="bottom"/>
            <w:shd w:val="clear" w:color="auto" w:fill="E7E7E8"/>
          </w:tcPr>
          <w:p>
            <w:pPr>
              <w:spacing w:after="0"/>
              <w:rPr>
                <w:sz w:val="10"/>
                <w:szCs w:val="10"/>
                <w:color w:val="auto"/>
              </w:rPr>
            </w:pPr>
          </w:p>
        </w:tc>
        <w:tc>
          <w:tcPr>
            <w:tcW w:w="4060" w:type="dxa"/>
            <w:vAlign w:val="bottom"/>
            <w:shd w:val="clear" w:color="auto" w:fill="E7E7E8"/>
          </w:tcPr>
          <w:p>
            <w:pPr>
              <w:spacing w:after="0"/>
              <w:rPr>
                <w:sz w:val="10"/>
                <w:szCs w:val="10"/>
                <w:color w:val="auto"/>
              </w:rPr>
            </w:pPr>
          </w:p>
        </w:tc>
      </w:tr>
    </w:tbl>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For fiscal 2021, the Peer Reference Group was updated to replace Ingersoll-Rand plc (now Trane Technologies plc) with Ingersoll Rand Inc., which was formed from the spin-off of Ingersoll-Rand plc’s industrial segment and its concurrent merger with Gardner Denver Holdings in February 2020.</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To reflect the Company’s enhanced focus on mega-projects, the Peer Reference Group used to set pay for fiscal 2022 has been revised as follows.</w:t>
      </w:r>
    </w:p>
    <w:p>
      <w:pPr>
        <w:spacing w:after="0" w:line="162" w:lineRule="exact"/>
        <w:rPr>
          <w:sz w:val="20"/>
          <w:szCs w:val="20"/>
          <w:color w:val="auto"/>
        </w:rPr>
      </w:pPr>
    </w:p>
    <w:p>
      <w:pPr>
        <w:jc w:val="both"/>
        <w:ind w:left="400" w:right="80" w:hanging="194"/>
        <w:spacing w:after="0" w:line="248" w:lineRule="auto"/>
        <w:tabs>
          <w:tab w:leader="none" w:pos="400" w:val="left"/>
        </w:tabs>
        <w:numPr>
          <w:ilvl w:val="0"/>
          <w:numId w:val="47"/>
        </w:numPr>
        <w:rPr>
          <w:rFonts w:ascii="Arial" w:cs="Arial" w:eastAsia="Arial" w:hAnsi="Arial"/>
          <w:sz w:val="16"/>
          <w:szCs w:val="16"/>
          <w:color w:val="009A4B"/>
        </w:rPr>
      </w:pPr>
      <w:r>
        <w:rPr>
          <w:rFonts w:ascii="Arial" w:cs="Arial" w:eastAsia="Arial" w:hAnsi="Arial"/>
          <w:sz w:val="16"/>
          <w:szCs w:val="16"/>
          <w:color w:val="auto"/>
        </w:rPr>
        <w:t>Eight peers will be added, seven of which (AECOM Technology Corporation, Baker Hughes Company, EMCOR Group, Inc., Fluor Corporation, MasTec, Inc., Quanta Services, Inc. and TechnipFMC plc) are construction, engineering and energy technology services companies. The Company is also adding Fortive Corporation, an industrial machinery company.</w:t>
      </w:r>
    </w:p>
    <w:p>
      <w:pPr>
        <w:spacing w:after="0" w:line="95" w:lineRule="exact"/>
        <w:rPr>
          <w:rFonts w:ascii="Arial" w:cs="Arial" w:eastAsia="Arial" w:hAnsi="Arial"/>
          <w:sz w:val="16"/>
          <w:szCs w:val="16"/>
          <w:color w:val="009A4B"/>
        </w:rPr>
      </w:pPr>
    </w:p>
    <w:p>
      <w:pPr>
        <w:ind w:left="400" w:right="460" w:hanging="194"/>
        <w:spacing w:after="0" w:line="254" w:lineRule="auto"/>
        <w:tabs>
          <w:tab w:leader="none" w:pos="400" w:val="left"/>
        </w:tabs>
        <w:numPr>
          <w:ilvl w:val="0"/>
          <w:numId w:val="47"/>
        </w:numPr>
        <w:rPr>
          <w:rFonts w:ascii="Arial" w:cs="Arial" w:eastAsia="Arial" w:hAnsi="Arial"/>
          <w:sz w:val="16"/>
          <w:szCs w:val="16"/>
          <w:color w:val="009A4B"/>
        </w:rPr>
      </w:pPr>
      <w:r>
        <w:rPr>
          <w:rFonts w:ascii="Arial" w:cs="Arial" w:eastAsia="Arial" w:hAnsi="Arial"/>
          <w:sz w:val="16"/>
          <w:szCs w:val="16"/>
          <w:color w:val="auto"/>
        </w:rPr>
        <w:t>Four companies will be removed that are less comparable to Air Products’ business than other existing peers: The Chemours Company, Huntsman Corporation, Olin Corporation and Westlake Chemical Corporation.</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color w:val="009A4B"/>
        </w:rPr>
        <w:t>Risk Assessment</w:t>
      </w:r>
    </w:p>
    <w:p>
      <w:pPr>
        <w:spacing w:after="0" w:line="219"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During fiscal 2021, the Committee, with assistance from WTW, conducted a risk assessment of the Company’s executive officer compensation program. The Committee concluded that the program is balanced and does not provide an enticement for executives to take risks that are likely to have an adverse effect on the Company due to the following features:</w:t>
      </w:r>
    </w:p>
    <w:p>
      <w:pPr>
        <w:spacing w:after="0" w:line="148" w:lineRule="exact"/>
        <w:rPr>
          <w:sz w:val="20"/>
          <w:szCs w:val="20"/>
          <w:color w:val="auto"/>
        </w:rPr>
      </w:pPr>
    </w:p>
    <w:p>
      <w:pPr>
        <w:ind w:left="400" w:hanging="194"/>
        <w:spacing w:after="0"/>
        <w:tabs>
          <w:tab w:leader="none" w:pos="400" w:val="left"/>
        </w:tabs>
        <w:numPr>
          <w:ilvl w:val="0"/>
          <w:numId w:val="48"/>
        </w:numPr>
        <w:rPr>
          <w:rFonts w:ascii="Arial" w:cs="Arial" w:eastAsia="Arial" w:hAnsi="Arial"/>
          <w:sz w:val="16"/>
          <w:szCs w:val="16"/>
          <w:color w:val="009A4B"/>
        </w:rPr>
      </w:pPr>
      <w:r>
        <w:rPr>
          <w:rFonts w:ascii="Arial" w:cs="Arial" w:eastAsia="Arial" w:hAnsi="Arial"/>
          <w:sz w:val="16"/>
          <w:szCs w:val="16"/>
          <w:color w:val="auto"/>
        </w:rPr>
        <w:t>the Company does not use highly leveraged short-term incentives that drive risky investments at the expense of long-term Company value;</w:t>
      </w:r>
    </w:p>
    <w:p>
      <w:pPr>
        <w:spacing w:after="0" w:line="162" w:lineRule="exact"/>
        <w:rPr>
          <w:rFonts w:ascii="Arial" w:cs="Arial" w:eastAsia="Arial" w:hAnsi="Arial"/>
          <w:sz w:val="16"/>
          <w:szCs w:val="16"/>
          <w:color w:val="009A4B"/>
        </w:rPr>
      </w:pPr>
    </w:p>
    <w:p>
      <w:pPr>
        <w:ind w:left="400" w:hanging="194"/>
        <w:spacing w:after="0"/>
        <w:tabs>
          <w:tab w:leader="none" w:pos="400" w:val="left"/>
        </w:tabs>
        <w:numPr>
          <w:ilvl w:val="0"/>
          <w:numId w:val="48"/>
        </w:numPr>
        <w:rPr>
          <w:rFonts w:ascii="Arial" w:cs="Arial" w:eastAsia="Arial" w:hAnsi="Arial"/>
          <w:sz w:val="16"/>
          <w:szCs w:val="16"/>
          <w:color w:val="009A4B"/>
        </w:rPr>
      </w:pPr>
      <w:r>
        <w:rPr>
          <w:rFonts w:ascii="Arial" w:cs="Arial" w:eastAsia="Arial" w:hAnsi="Arial"/>
          <w:sz w:val="16"/>
          <w:szCs w:val="16"/>
          <w:color w:val="auto"/>
        </w:rPr>
        <w:t>the Company’s compensation programs reward consistent, long-term performance by heavily weighting compensation to long-term incentives;</w:t>
      </w:r>
    </w:p>
    <w:p>
      <w:pPr>
        <w:spacing w:after="0" w:line="162" w:lineRule="exact"/>
        <w:rPr>
          <w:rFonts w:ascii="Arial" w:cs="Arial" w:eastAsia="Arial" w:hAnsi="Arial"/>
          <w:sz w:val="16"/>
          <w:szCs w:val="16"/>
          <w:color w:val="009A4B"/>
        </w:rPr>
      </w:pPr>
    </w:p>
    <w:p>
      <w:pPr>
        <w:ind w:left="400" w:right="360" w:hanging="194"/>
        <w:spacing w:after="0" w:line="254" w:lineRule="auto"/>
        <w:tabs>
          <w:tab w:leader="none" w:pos="400" w:val="left"/>
        </w:tabs>
        <w:numPr>
          <w:ilvl w:val="0"/>
          <w:numId w:val="48"/>
        </w:numPr>
        <w:rPr>
          <w:rFonts w:ascii="Arial" w:cs="Arial" w:eastAsia="Arial" w:hAnsi="Arial"/>
          <w:sz w:val="16"/>
          <w:szCs w:val="16"/>
          <w:color w:val="009A4B"/>
        </w:rPr>
      </w:pPr>
      <w:r>
        <w:rPr>
          <w:rFonts w:ascii="Arial" w:cs="Arial" w:eastAsia="Arial" w:hAnsi="Arial"/>
          <w:sz w:val="16"/>
          <w:szCs w:val="16"/>
          <w:color w:val="auto"/>
        </w:rPr>
        <w:t>concentration of long-term incentive compensation in awards based on relative TSR combined with overlapping grant cycles strengthens executives’ incentive to foster stable, long-term performance;</w:t>
      </w:r>
    </w:p>
    <w:p>
      <w:pPr>
        <w:spacing w:after="0" w:line="89" w:lineRule="exact"/>
        <w:rPr>
          <w:rFonts w:ascii="Arial" w:cs="Arial" w:eastAsia="Arial" w:hAnsi="Arial"/>
          <w:sz w:val="16"/>
          <w:szCs w:val="16"/>
          <w:color w:val="009A4B"/>
        </w:rPr>
      </w:pPr>
    </w:p>
    <w:p>
      <w:pPr>
        <w:ind w:left="400" w:hanging="194"/>
        <w:spacing w:after="0"/>
        <w:tabs>
          <w:tab w:leader="none" w:pos="400" w:val="left"/>
        </w:tabs>
        <w:numPr>
          <w:ilvl w:val="0"/>
          <w:numId w:val="48"/>
        </w:numPr>
        <w:rPr>
          <w:rFonts w:ascii="Arial" w:cs="Arial" w:eastAsia="Arial" w:hAnsi="Arial"/>
          <w:sz w:val="16"/>
          <w:szCs w:val="16"/>
          <w:color w:val="009A4B"/>
        </w:rPr>
      </w:pPr>
      <w:r>
        <w:rPr>
          <w:rFonts w:ascii="Arial" w:cs="Arial" w:eastAsia="Arial" w:hAnsi="Arial"/>
          <w:sz w:val="16"/>
          <w:szCs w:val="16"/>
          <w:color w:val="auto"/>
        </w:rPr>
        <w:t>cash incentive awards are capped at sustainable levels, and the Committee has discretion to reduce awards, including for non-financial considerations;</w:t>
      </w:r>
    </w:p>
    <w:p>
      <w:pPr>
        <w:spacing w:after="0" w:line="162" w:lineRule="exact"/>
        <w:rPr>
          <w:rFonts w:ascii="Arial" w:cs="Arial" w:eastAsia="Arial" w:hAnsi="Arial"/>
          <w:sz w:val="16"/>
          <w:szCs w:val="16"/>
          <w:color w:val="009A4B"/>
        </w:rPr>
      </w:pPr>
    </w:p>
    <w:p>
      <w:pPr>
        <w:ind w:left="400" w:hanging="194"/>
        <w:spacing w:after="0"/>
        <w:tabs>
          <w:tab w:leader="none" w:pos="400" w:val="left"/>
        </w:tabs>
        <w:numPr>
          <w:ilvl w:val="0"/>
          <w:numId w:val="48"/>
        </w:numPr>
        <w:rPr>
          <w:rFonts w:ascii="Arial" w:cs="Arial" w:eastAsia="Arial" w:hAnsi="Arial"/>
          <w:sz w:val="16"/>
          <w:szCs w:val="16"/>
          <w:color w:val="009A4B"/>
        </w:rPr>
      </w:pPr>
      <w:r>
        <w:rPr>
          <w:rFonts w:ascii="Arial" w:cs="Arial" w:eastAsia="Arial" w:hAnsi="Arial"/>
          <w:sz w:val="16"/>
          <w:szCs w:val="16"/>
          <w:color w:val="auto"/>
        </w:rPr>
        <w:t>the Company enforces substantial executive officer stock ownership and holding requirements; and</w:t>
      </w:r>
    </w:p>
    <w:p>
      <w:pPr>
        <w:spacing w:after="0" w:line="162" w:lineRule="exact"/>
        <w:rPr>
          <w:rFonts w:ascii="Arial" w:cs="Arial" w:eastAsia="Arial" w:hAnsi="Arial"/>
          <w:sz w:val="16"/>
          <w:szCs w:val="16"/>
          <w:color w:val="009A4B"/>
        </w:rPr>
      </w:pPr>
    </w:p>
    <w:p>
      <w:pPr>
        <w:ind w:left="400" w:right="300" w:hanging="194"/>
        <w:spacing w:after="0" w:line="254" w:lineRule="auto"/>
        <w:tabs>
          <w:tab w:leader="none" w:pos="400" w:val="left"/>
        </w:tabs>
        <w:numPr>
          <w:ilvl w:val="0"/>
          <w:numId w:val="48"/>
        </w:numPr>
        <w:rPr>
          <w:rFonts w:ascii="Arial" w:cs="Arial" w:eastAsia="Arial" w:hAnsi="Arial"/>
          <w:sz w:val="16"/>
          <w:szCs w:val="16"/>
          <w:color w:val="009A4B"/>
        </w:rPr>
      </w:pPr>
      <w:r>
        <w:rPr>
          <w:rFonts w:ascii="Arial" w:cs="Arial" w:eastAsia="Arial" w:hAnsi="Arial"/>
          <w:sz w:val="16"/>
          <w:szCs w:val="16"/>
          <w:color w:val="auto"/>
        </w:rPr>
        <w:t>the Company has recovery policies (“clawbacks”) applicable to incentive compensation that permit the Company to cancel awards and recoup certain gains in the event of conduct that is detrimental to the Company.</w:t>
      </w:r>
    </w:p>
    <w:p>
      <w:pPr>
        <w:spacing w:after="0" w:line="143"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In addition, management conducted and reported to the Committee on its evaluation of the Company’s overall compensation practices and programs to assess whether any of these programs and practices exposed the Company to excessive risk-taking, concluding there were no such programs or practices.</w:t>
      </w:r>
    </w:p>
    <w:p>
      <w:pPr>
        <w:spacing w:after="0" w:line="12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7155180" cy="20955"/>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sz w:val="1"/>
          <w:szCs w:val="1"/>
          <w:color w:val="auto"/>
        </w:rPr>
        <w:drawing>
          <wp:inline distT="0" distB="0" distL="0" distR="0">
            <wp:extent cx="337820" cy="337820"/>
            <wp:effectExtent l="0" t="0" r="0" b="0"/>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337820" cy="337820"/>
                    </a:xfrm>
                    <a:prstGeom prst="rect">
                      <a:avLst/>
                    </a:prstGeom>
                    <a:noFill/>
                    <a:ln>
                      <a:noFill/>
                    </a:ln>
                  </pic:spPr>
                </pic:pic>
              </a:graphicData>
            </a:graphic>
          </wp:inline>
        </w:drawing>
      </w:r>
      <w:r>
        <w:rPr>
          <w:rFonts w:ascii="Arial" w:cs="Arial" w:eastAsia="Arial" w:hAnsi="Arial"/>
          <w:sz w:val="28"/>
          <w:szCs w:val="28"/>
          <w:color w:val="009A4B"/>
        </w:rPr>
        <w:t xml:space="preserve"> Key Compensation Practices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-7620</wp:posOffset>
            </wp:positionV>
            <wp:extent cx="6703060" cy="17145"/>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6703060" cy="1714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color w:val="009A4B"/>
        </w:rPr>
        <w:t>Executive Officer Stock Ownership</w:t>
      </w:r>
    </w:p>
    <w:p>
      <w:pPr>
        <w:spacing w:after="0" w:line="219" w:lineRule="exact"/>
        <w:rPr>
          <w:sz w:val="20"/>
          <w:szCs w:val="20"/>
          <w:color w:val="auto"/>
        </w:rPr>
      </w:pPr>
    </w:p>
    <w:p>
      <w:pPr>
        <w:ind w:right="460"/>
        <w:spacing w:after="0" w:line="266" w:lineRule="auto"/>
        <w:rPr>
          <w:sz w:val="20"/>
          <w:szCs w:val="20"/>
          <w:color w:val="auto"/>
        </w:rPr>
      </w:pPr>
      <w:r>
        <w:rPr>
          <w:rFonts w:ascii="Arial" w:cs="Arial" w:eastAsia="Arial" w:hAnsi="Arial"/>
          <w:sz w:val="15"/>
          <w:szCs w:val="15"/>
          <w:color w:val="auto"/>
        </w:rPr>
        <w:t>The Committee has approved ownership guidelines that require executive officers to achieve an ownership stake in the Company that is significant in comparison with the executive officer’s salary. The ownership guidelines are six times base salary for the CEO and three times base salary for the other executive officers. Each executive officer is expected to achieve the specified ownership level within five years of assuming his or her position. Executive officers may count toward these requirements the value of shares owned, share equivalents held in their RSP accounts, earned performance shares and unvested RSUs. Stock options and unearned performance shares are not counted. All executive officers are currently in compliance with this policy.</w:t>
      </w:r>
    </w:p>
    <w:p>
      <w:pPr>
        <w:spacing w:after="0" w:line="189" w:lineRule="exact"/>
        <w:rPr>
          <w:sz w:val="20"/>
          <w:szCs w:val="20"/>
          <w:color w:val="auto"/>
        </w:rPr>
      </w:pPr>
    </w:p>
    <w:p>
      <w:pPr>
        <w:spacing w:after="0"/>
        <w:rPr>
          <w:sz w:val="20"/>
          <w:szCs w:val="20"/>
          <w:color w:val="auto"/>
        </w:rPr>
      </w:pPr>
      <w:r>
        <w:rPr>
          <w:rFonts w:ascii="Arial" w:cs="Arial" w:eastAsia="Arial" w:hAnsi="Arial"/>
          <w:sz w:val="25"/>
          <w:szCs w:val="25"/>
          <w:color w:val="009A4B"/>
        </w:rPr>
        <w:t>Hedging and Pledging Policy</w:t>
      </w:r>
    </w:p>
    <w:p>
      <w:pPr>
        <w:spacing w:after="0" w:line="219" w:lineRule="exact"/>
        <w:rPr>
          <w:sz w:val="20"/>
          <w:szCs w:val="20"/>
          <w:color w:val="auto"/>
        </w:rPr>
      </w:pPr>
    </w:p>
    <w:p>
      <w:pPr>
        <w:ind w:right="140"/>
        <w:spacing w:after="0" w:line="246" w:lineRule="auto"/>
        <w:rPr>
          <w:sz w:val="20"/>
          <w:szCs w:val="20"/>
          <w:color w:val="auto"/>
        </w:rPr>
      </w:pPr>
      <w:r>
        <w:rPr>
          <w:rFonts w:ascii="Arial" w:cs="Arial" w:eastAsia="Arial" w:hAnsi="Arial"/>
          <w:sz w:val="16"/>
          <w:szCs w:val="16"/>
          <w:color w:val="auto"/>
        </w:rPr>
        <w:t>It is the policy of the Company that executive officers and directors may not purchase or sell options on Company stock, engage in short sales with respect to Company stock or trade in puts, calls, straddles, equity swaps or other derivative securities that are directly linked to Company stock. Executive officers and directors are also prohibited from holding shares of Company stock in a margin account or pledging shares of Company stock as collateral on a loan. Employees, other than executive officers, are generally permitted to engage in transactions that are designed to hedge or offset market risk.</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009A4B"/>
        </w:rPr>
        <w:t>Clawback Policy</w:t>
      </w:r>
    </w:p>
    <w:p>
      <w:pPr>
        <w:spacing w:after="0" w:line="219"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The Company’s equity plans and agreements provide that awards may be cancelled and that certain gains must be repaid to the Company (or “clawed back”) if an executive officer engages in activity that is detrimental to the Company, such as performing services for a competitor, disclosing confidential information or violating Company policies. The Committee also has adopted a policy allowing the clawback of cash incentive payments and performance shares in the event an executive officer’s conduct leads to a restatement of the Company’s financial results. The Committee may, in its discretion, seek to recoup any bonus or incentive compensation paid to an executive officer if (i) the amount of such payment was based on the achievement of certain financial results that were subsequently the subject of a restatement, (ii) the Committee determines that the executive officer engaged in misconduct that resulted in the requirement to restate and (iii) a lower payment would have been made to the executive officer based upon the restated financial results.</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color w:val="009A4B"/>
        </w:rPr>
        <w:t>Granting Practices</w:t>
      </w:r>
    </w:p>
    <w:p>
      <w:pPr>
        <w:spacing w:after="0" w:line="219" w:lineRule="exact"/>
        <w:rPr>
          <w:sz w:val="20"/>
          <w:szCs w:val="20"/>
          <w:color w:val="auto"/>
        </w:rPr>
      </w:pPr>
    </w:p>
    <w:p>
      <w:pPr>
        <w:ind w:right="240"/>
        <w:spacing w:after="0" w:line="273" w:lineRule="auto"/>
        <w:rPr>
          <w:sz w:val="20"/>
          <w:szCs w:val="20"/>
          <w:color w:val="auto"/>
        </w:rPr>
      </w:pPr>
      <w:r>
        <w:rPr>
          <w:rFonts w:ascii="Arial" w:cs="Arial" w:eastAsia="Arial" w:hAnsi="Arial"/>
          <w:sz w:val="15"/>
          <w:szCs w:val="15"/>
          <w:color w:val="auto"/>
        </w:rPr>
        <w:t>Equity compensation awards are provided to executive officers and approximately 280 other management employees under the Company’s Long-Term Incentive Plan (except for off-cycle recruiting and retention awards) and are granted as of the first NYSE business day in the month of December. Recruiting grants are generally issued as of the first day of employment. Off-cycle retention grants are made occasionally in response to extraordinary retention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81280</wp:posOffset>
            </wp:positionV>
            <wp:extent cx="845185" cy="202565"/>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845185" cy="20256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7155180" cy="20955"/>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35"/>
          <w:szCs w:val="35"/>
          <w:color w:val="009A4B"/>
        </w:rPr>
        <w:t>Executive Compensation Tables</w:t>
      </w:r>
    </w:p>
    <w:p>
      <w:pPr>
        <w:spacing w:after="0" w:line="221" w:lineRule="exact"/>
        <w:rPr>
          <w:sz w:val="20"/>
          <w:szCs w:val="20"/>
          <w:color w:val="auto"/>
        </w:rPr>
      </w:pPr>
    </w:p>
    <w:p>
      <w:pPr>
        <w:spacing w:after="0"/>
        <w:rPr>
          <w:sz w:val="20"/>
          <w:szCs w:val="20"/>
          <w:color w:val="auto"/>
        </w:rPr>
      </w:pPr>
      <w:r>
        <w:rPr>
          <w:rFonts w:ascii="Arial" w:cs="Arial" w:eastAsia="Arial" w:hAnsi="Arial"/>
          <w:sz w:val="28"/>
          <w:szCs w:val="28"/>
          <w:color w:val="009A4B"/>
        </w:rPr>
        <w:t>Fiscal 2021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225" cy="17145"/>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Changes in</w:t>
            </w: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Pension</w:t>
            </w: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Value and</w:t>
            </w: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Pr>
          <w:p>
            <w:pPr>
              <w:jc w:val="right"/>
              <w:ind w:right="23"/>
              <w:spacing w:after="0" w:line="160" w:lineRule="exact"/>
              <w:rPr>
                <w:sz w:val="20"/>
                <w:szCs w:val="20"/>
                <w:color w:val="auto"/>
              </w:rPr>
            </w:pPr>
            <w:r>
              <w:rPr>
                <w:rFonts w:ascii="Arial" w:cs="Arial" w:eastAsia="Arial" w:hAnsi="Arial"/>
                <w:sz w:val="14"/>
                <w:szCs w:val="14"/>
                <w:b w:val="1"/>
                <w:bCs w:val="1"/>
                <w:color w:val="auto"/>
              </w:rPr>
              <w:t>Non-Equity</w:t>
            </w:r>
          </w:p>
        </w:tc>
        <w:tc>
          <w:tcPr>
            <w:tcW w:w="100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Nonqualified</w:t>
            </w: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Pr>
          <w:p>
            <w:pPr>
              <w:jc w:val="right"/>
              <w:ind w:right="23"/>
              <w:spacing w:after="0" w:line="160" w:lineRule="exact"/>
              <w:rPr>
                <w:sz w:val="20"/>
                <w:szCs w:val="20"/>
                <w:color w:val="auto"/>
              </w:rPr>
            </w:pPr>
            <w:r>
              <w:rPr>
                <w:rFonts w:ascii="Arial" w:cs="Arial" w:eastAsia="Arial" w:hAnsi="Arial"/>
                <w:sz w:val="14"/>
                <w:szCs w:val="14"/>
                <w:b w:val="1"/>
                <w:bCs w:val="1"/>
                <w:color w:val="auto"/>
              </w:rPr>
              <w:t>Incentive</w:t>
            </w:r>
          </w:p>
        </w:tc>
        <w:tc>
          <w:tcPr>
            <w:tcW w:w="100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Deferred</w:t>
            </w: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Stock</w:t>
            </w:r>
          </w:p>
        </w:tc>
        <w:tc>
          <w:tcPr>
            <w:tcW w:w="228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auto"/>
              </w:rPr>
              <w:t>Plan Compensation</w:t>
            </w:r>
          </w:p>
        </w:tc>
        <w:tc>
          <w:tcPr>
            <w:tcW w:w="120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All Other</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80" w:type="dxa"/>
            <w:vAlign w:val="bottom"/>
          </w:tcPr>
          <w:p>
            <w:pPr>
              <w:ind w:left="40"/>
              <w:spacing w:after="0"/>
              <w:rPr>
                <w:sz w:val="20"/>
                <w:szCs w:val="20"/>
                <w:color w:val="auto"/>
              </w:rPr>
            </w:pPr>
            <w:r>
              <w:rPr>
                <w:rFonts w:ascii="Arial" w:cs="Arial" w:eastAsia="Arial" w:hAnsi="Arial"/>
                <w:sz w:val="14"/>
                <w:szCs w:val="14"/>
                <w:b w:val="1"/>
                <w:bCs w:val="1"/>
                <w:color w:val="auto"/>
              </w:rPr>
              <w:t>Officer and</w:t>
            </w:r>
          </w:p>
        </w:tc>
        <w:tc>
          <w:tcPr>
            <w:tcW w:w="440" w:type="dxa"/>
            <w:vAlign w:val="bottom"/>
          </w:tcPr>
          <w:p>
            <w:pPr>
              <w:spacing w:after="0"/>
              <w:rPr>
                <w:sz w:val="16"/>
                <w:szCs w:val="16"/>
                <w:color w:val="auto"/>
              </w:rPr>
            </w:pPr>
          </w:p>
        </w:tc>
        <w:tc>
          <w:tcPr>
            <w:tcW w:w="800" w:type="dxa"/>
            <w:vAlign w:val="bottom"/>
          </w:tcPr>
          <w:p>
            <w:pPr>
              <w:jc w:val="right"/>
              <w:spacing w:after="0" w:line="188" w:lineRule="exact"/>
              <w:rPr>
                <w:sz w:val="20"/>
                <w:szCs w:val="20"/>
                <w:color w:val="auto"/>
              </w:rPr>
            </w:pPr>
            <w:r>
              <w:rPr>
                <w:rFonts w:ascii="Arial" w:cs="Arial" w:eastAsia="Arial" w:hAnsi="Arial"/>
                <w:sz w:val="13"/>
                <w:szCs w:val="13"/>
                <w:b w:val="1"/>
                <w:bCs w:val="1"/>
                <w:color w:val="auto"/>
              </w:rPr>
              <w:t>Salary</w:t>
            </w:r>
            <w:r>
              <w:rPr>
                <w:rFonts w:ascii="Arial" w:cs="Arial" w:eastAsia="Arial" w:hAnsi="Arial"/>
                <w:sz w:val="21"/>
                <w:szCs w:val="21"/>
                <w:b w:val="1"/>
                <w:bCs w:val="1"/>
                <w:color w:val="auto"/>
                <w:vertAlign w:val="superscript"/>
              </w:rPr>
              <w:t>(1)</w:t>
            </w:r>
          </w:p>
        </w:tc>
        <w:tc>
          <w:tcPr>
            <w:tcW w:w="820" w:type="dxa"/>
            <w:vAlign w:val="bottom"/>
          </w:tcPr>
          <w:p>
            <w:pPr>
              <w:jc w:val="right"/>
              <w:ind w:right="2"/>
              <w:spacing w:after="0" w:line="188" w:lineRule="exact"/>
              <w:rPr>
                <w:sz w:val="20"/>
                <w:szCs w:val="20"/>
                <w:color w:val="auto"/>
              </w:rPr>
            </w:pPr>
            <w:r>
              <w:rPr>
                <w:rFonts w:ascii="Arial" w:cs="Arial" w:eastAsia="Arial" w:hAnsi="Arial"/>
                <w:sz w:val="13"/>
                <w:szCs w:val="13"/>
                <w:b w:val="1"/>
                <w:bCs w:val="1"/>
                <w:color w:val="auto"/>
              </w:rPr>
              <w:t>Bonus</w:t>
            </w:r>
            <w:r>
              <w:rPr>
                <w:rFonts w:ascii="Arial" w:cs="Arial" w:eastAsia="Arial" w:hAnsi="Arial"/>
                <w:sz w:val="21"/>
                <w:szCs w:val="21"/>
                <w:b w:val="1"/>
                <w:bCs w:val="1"/>
                <w:color w:val="auto"/>
                <w:vertAlign w:val="superscript"/>
              </w:rPr>
              <w:t>(2)</w:t>
            </w:r>
          </w:p>
        </w:tc>
        <w:tc>
          <w:tcPr>
            <w:tcW w:w="840" w:type="dxa"/>
            <w:vAlign w:val="bottom"/>
          </w:tcPr>
          <w:p>
            <w:pPr>
              <w:jc w:val="right"/>
              <w:spacing w:after="0" w:line="188"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1"/>
                <w:szCs w:val="21"/>
                <w:b w:val="1"/>
                <w:bCs w:val="1"/>
                <w:color w:val="auto"/>
                <w:vertAlign w:val="superscript"/>
              </w:rPr>
              <w:t>(3)</w:t>
            </w:r>
          </w:p>
        </w:tc>
        <w:tc>
          <w:tcPr>
            <w:tcW w:w="1280" w:type="dxa"/>
            <w:vAlign w:val="bottom"/>
          </w:tcPr>
          <w:p>
            <w:pPr>
              <w:jc w:val="right"/>
              <w:ind w:right="23"/>
              <w:spacing w:after="0" w:line="188" w:lineRule="exact"/>
              <w:rPr>
                <w:sz w:val="20"/>
                <w:szCs w:val="20"/>
                <w:color w:val="auto"/>
              </w:rPr>
            </w:pPr>
            <w:r>
              <w:rPr>
                <w:rFonts w:ascii="Arial" w:cs="Arial" w:eastAsia="Arial" w:hAnsi="Arial"/>
                <w:sz w:val="13"/>
                <w:szCs w:val="13"/>
                <w:b w:val="1"/>
                <w:bCs w:val="1"/>
                <w:color w:val="auto"/>
              </w:rPr>
              <w:t>Compensation</w:t>
            </w:r>
            <w:r>
              <w:rPr>
                <w:rFonts w:ascii="Arial" w:cs="Arial" w:eastAsia="Arial" w:hAnsi="Arial"/>
                <w:sz w:val="21"/>
                <w:szCs w:val="21"/>
                <w:b w:val="1"/>
                <w:bCs w:val="1"/>
                <w:color w:val="auto"/>
                <w:vertAlign w:val="superscript"/>
              </w:rPr>
              <w:t>(4)</w:t>
            </w:r>
          </w:p>
        </w:tc>
        <w:tc>
          <w:tcPr>
            <w:tcW w:w="1000" w:type="dxa"/>
            <w:vAlign w:val="bottom"/>
          </w:tcPr>
          <w:p>
            <w:pPr>
              <w:jc w:val="right"/>
              <w:spacing w:after="0" w:line="188" w:lineRule="exact"/>
              <w:rPr>
                <w:sz w:val="20"/>
                <w:szCs w:val="20"/>
                <w:color w:val="auto"/>
              </w:rPr>
            </w:pPr>
            <w:r>
              <w:rPr>
                <w:rFonts w:ascii="Arial" w:cs="Arial" w:eastAsia="Arial" w:hAnsi="Arial"/>
                <w:sz w:val="13"/>
                <w:szCs w:val="13"/>
                <w:b w:val="1"/>
                <w:bCs w:val="1"/>
                <w:color w:val="auto"/>
              </w:rPr>
              <w:t>Earnings</w:t>
            </w:r>
            <w:r>
              <w:rPr>
                <w:rFonts w:ascii="Arial" w:cs="Arial" w:eastAsia="Arial" w:hAnsi="Arial"/>
                <w:sz w:val="21"/>
                <w:szCs w:val="21"/>
                <w:b w:val="1"/>
                <w:bCs w:val="1"/>
                <w:color w:val="auto"/>
                <w:vertAlign w:val="superscript"/>
              </w:rPr>
              <w:t>(5)</w:t>
            </w:r>
          </w:p>
        </w:tc>
        <w:tc>
          <w:tcPr>
            <w:tcW w:w="1200" w:type="dxa"/>
            <w:vAlign w:val="bottom"/>
          </w:tcPr>
          <w:p>
            <w:pPr>
              <w:jc w:val="right"/>
              <w:spacing w:after="0" w:line="188" w:lineRule="exact"/>
              <w:rPr>
                <w:sz w:val="20"/>
                <w:szCs w:val="20"/>
                <w:color w:val="auto"/>
              </w:rPr>
            </w:pPr>
            <w:r>
              <w:rPr>
                <w:rFonts w:ascii="Arial" w:cs="Arial" w:eastAsia="Arial" w:hAnsi="Arial"/>
                <w:sz w:val="13"/>
                <w:szCs w:val="13"/>
                <w:b w:val="1"/>
                <w:bCs w:val="1"/>
                <w:color w:val="auto"/>
              </w:rPr>
              <w:t>Compensation</w:t>
            </w:r>
            <w:r>
              <w:rPr>
                <w:rFonts w:ascii="Arial" w:cs="Arial" w:eastAsia="Arial" w:hAnsi="Arial"/>
                <w:sz w:val="21"/>
                <w:szCs w:val="21"/>
                <w:b w:val="1"/>
                <w:bCs w:val="1"/>
                <w:color w:val="auto"/>
                <w:vertAlign w:val="superscript"/>
              </w:rPr>
              <w:t>(6)</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6"/>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Principal Position</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Year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5"/>
        </w:trPr>
        <w:tc>
          <w:tcPr>
            <w:tcW w:w="3980" w:type="dxa"/>
            <w:vAlign w:val="bottom"/>
          </w:tcPr>
          <w:p>
            <w:pPr>
              <w:ind w:left="40"/>
              <w:spacing w:after="0"/>
              <w:rPr>
                <w:sz w:val="20"/>
                <w:szCs w:val="20"/>
                <w:color w:val="auto"/>
              </w:rPr>
            </w:pPr>
            <w:r>
              <w:rPr>
                <w:rFonts w:ascii="Arial" w:cs="Arial" w:eastAsia="Arial" w:hAnsi="Arial"/>
                <w:sz w:val="16"/>
                <w:szCs w:val="16"/>
                <w:b w:val="1"/>
                <w:bCs w:val="1"/>
                <w:color w:val="009A4B"/>
              </w:rPr>
              <w:t>Seifi Ghasemi,</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2021 1,401,923</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 10,232,039</w:t>
            </w:r>
          </w:p>
        </w:tc>
        <w:tc>
          <w:tcPr>
            <w:tcW w:w="1280" w:type="dxa"/>
            <w:vAlign w:val="bottom"/>
          </w:tcPr>
          <w:p>
            <w:pPr>
              <w:jc w:val="right"/>
              <w:ind w:right="23"/>
              <w:spacing w:after="0"/>
              <w:rPr>
                <w:sz w:val="20"/>
                <w:szCs w:val="20"/>
                <w:color w:val="auto"/>
              </w:rPr>
            </w:pPr>
            <w:r>
              <w:rPr>
                <w:rFonts w:ascii="Arial" w:cs="Arial" w:eastAsia="Arial" w:hAnsi="Arial"/>
                <w:sz w:val="16"/>
                <w:szCs w:val="16"/>
                <w:color w:val="auto"/>
              </w:rPr>
              <w:t>1,923,750</w:t>
            </w:r>
          </w:p>
        </w:tc>
        <w:tc>
          <w:tcPr>
            <w:tcW w:w="1000" w:type="dxa"/>
            <w:vAlign w:val="bottom"/>
          </w:tcPr>
          <w:p>
            <w:pPr>
              <w:jc w:val="right"/>
              <w:spacing w:after="0"/>
              <w:rPr>
                <w:sz w:val="20"/>
                <w:szCs w:val="20"/>
                <w:color w:val="auto"/>
              </w:rPr>
            </w:pPr>
            <w:r>
              <w:rPr>
                <w:rFonts w:ascii="Arial" w:cs="Arial" w:eastAsia="Arial" w:hAnsi="Arial"/>
                <w:sz w:val="16"/>
                <w:szCs w:val="16"/>
                <w:color w:val="auto"/>
              </w:rPr>
              <w:t>13,911</w:t>
            </w:r>
          </w:p>
        </w:tc>
        <w:tc>
          <w:tcPr>
            <w:tcW w:w="1200" w:type="dxa"/>
            <w:vAlign w:val="bottom"/>
          </w:tcPr>
          <w:p>
            <w:pPr>
              <w:jc w:val="right"/>
              <w:spacing w:after="0"/>
              <w:rPr>
                <w:sz w:val="20"/>
                <w:szCs w:val="20"/>
                <w:color w:val="auto"/>
              </w:rPr>
            </w:pPr>
            <w:r>
              <w:rPr>
                <w:rFonts w:ascii="Arial" w:cs="Arial" w:eastAsia="Arial" w:hAnsi="Arial"/>
                <w:sz w:val="16"/>
                <w:szCs w:val="16"/>
                <w:color w:val="auto"/>
              </w:rPr>
              <w:t>247,387</w:t>
            </w:r>
          </w:p>
        </w:tc>
        <w:tc>
          <w:tcPr>
            <w:tcW w:w="880" w:type="dxa"/>
            <w:vAlign w:val="bottom"/>
          </w:tcPr>
          <w:p>
            <w:pPr>
              <w:jc w:val="right"/>
              <w:spacing w:after="0"/>
              <w:rPr>
                <w:sz w:val="20"/>
                <w:szCs w:val="20"/>
                <w:color w:val="auto"/>
              </w:rPr>
            </w:pPr>
            <w:r>
              <w:rPr>
                <w:rFonts w:ascii="Arial" w:cs="Arial" w:eastAsia="Arial" w:hAnsi="Arial"/>
                <w:sz w:val="16"/>
                <w:szCs w:val="16"/>
                <w:color w:val="auto"/>
              </w:rPr>
              <w:t>13,819,010</w:t>
            </w:r>
          </w:p>
        </w:tc>
        <w:tc>
          <w:tcPr>
            <w:tcW w:w="0" w:type="dxa"/>
            <w:vAlign w:val="bottom"/>
          </w:tcPr>
          <w:p>
            <w:pPr>
              <w:spacing w:after="0"/>
              <w:rPr>
                <w:sz w:val="1"/>
                <w:szCs w:val="1"/>
                <w:color w:val="auto"/>
              </w:rPr>
            </w:pPr>
          </w:p>
        </w:tc>
      </w:tr>
      <w:tr>
        <w:trPr>
          <w:trHeight w:val="25"/>
        </w:trPr>
        <w:tc>
          <w:tcPr>
            <w:tcW w:w="3980" w:type="dxa"/>
            <w:vAlign w:val="bottom"/>
            <w:vMerge w:val="restart"/>
          </w:tcPr>
          <w:p>
            <w:pPr>
              <w:ind w:left="40"/>
              <w:spacing w:after="0"/>
              <w:rPr>
                <w:sz w:val="20"/>
                <w:szCs w:val="20"/>
                <w:color w:val="auto"/>
              </w:rPr>
            </w:pPr>
            <w:r>
              <w:rPr>
                <w:rFonts w:ascii="Arial" w:cs="Arial" w:eastAsia="Arial" w:hAnsi="Arial"/>
                <w:sz w:val="16"/>
                <w:szCs w:val="16"/>
                <w:color w:val="auto"/>
              </w:rPr>
              <w:t>Chairman, President and Chief Executive Officer</w:t>
            </w:r>
          </w:p>
        </w:tc>
        <w:tc>
          <w:tcPr>
            <w:tcW w:w="440" w:type="dxa"/>
            <w:vAlign w:val="bottom"/>
            <w:tcBorders>
              <w:bottom w:val="single" w:sz="8" w:color="949599"/>
            </w:tcBorders>
          </w:tcPr>
          <w:p>
            <w:pPr>
              <w:spacing w:after="0"/>
              <w:rPr>
                <w:sz w:val="2"/>
                <w:szCs w:val="2"/>
                <w:color w:val="auto"/>
              </w:rPr>
            </w:pPr>
          </w:p>
        </w:tc>
        <w:tc>
          <w:tcPr>
            <w:tcW w:w="800" w:type="dxa"/>
            <w:vAlign w:val="bottom"/>
            <w:tcBorders>
              <w:bottom w:val="single" w:sz="8" w:color="949599"/>
            </w:tcBorders>
          </w:tcPr>
          <w:p>
            <w:pPr>
              <w:spacing w:after="0"/>
              <w:rPr>
                <w:sz w:val="2"/>
                <w:szCs w:val="2"/>
                <w:color w:val="auto"/>
              </w:rPr>
            </w:pPr>
          </w:p>
        </w:tc>
        <w:tc>
          <w:tcPr>
            <w:tcW w:w="820" w:type="dxa"/>
            <w:vAlign w:val="bottom"/>
            <w:tcBorders>
              <w:bottom w:val="single" w:sz="8" w:color="949599"/>
            </w:tcBorders>
          </w:tcPr>
          <w:p>
            <w:pPr>
              <w:spacing w:after="0"/>
              <w:rPr>
                <w:sz w:val="2"/>
                <w:szCs w:val="2"/>
                <w:color w:val="auto"/>
              </w:rPr>
            </w:pPr>
          </w:p>
        </w:tc>
        <w:tc>
          <w:tcPr>
            <w:tcW w:w="840" w:type="dxa"/>
            <w:vAlign w:val="bottom"/>
            <w:tcBorders>
              <w:bottom w:val="single" w:sz="8" w:color="949599"/>
            </w:tcBorders>
          </w:tcPr>
          <w:p>
            <w:pPr>
              <w:spacing w:after="0"/>
              <w:rPr>
                <w:sz w:val="2"/>
                <w:szCs w:val="2"/>
                <w:color w:val="auto"/>
              </w:rPr>
            </w:pPr>
          </w:p>
        </w:tc>
        <w:tc>
          <w:tcPr>
            <w:tcW w:w="1280" w:type="dxa"/>
            <w:vAlign w:val="bottom"/>
            <w:tcBorders>
              <w:bottom w:val="single" w:sz="8" w:color="949599"/>
            </w:tcBorders>
          </w:tcPr>
          <w:p>
            <w:pPr>
              <w:spacing w:after="0"/>
              <w:rPr>
                <w:sz w:val="2"/>
                <w:szCs w:val="2"/>
                <w:color w:val="auto"/>
              </w:rPr>
            </w:pPr>
          </w:p>
        </w:tc>
        <w:tc>
          <w:tcPr>
            <w:tcW w:w="1000" w:type="dxa"/>
            <w:vAlign w:val="bottom"/>
            <w:tcBorders>
              <w:bottom w:val="single" w:sz="8" w:color="949599"/>
            </w:tcBorders>
          </w:tcPr>
          <w:p>
            <w:pPr>
              <w:spacing w:after="0"/>
              <w:rPr>
                <w:sz w:val="2"/>
                <w:szCs w:val="2"/>
                <w:color w:val="auto"/>
              </w:rPr>
            </w:pPr>
          </w:p>
        </w:tc>
        <w:tc>
          <w:tcPr>
            <w:tcW w:w="1200" w:type="dxa"/>
            <w:vAlign w:val="bottom"/>
            <w:tcBorders>
              <w:bottom w:val="single" w:sz="8" w:color="949599"/>
            </w:tcBorders>
          </w:tcPr>
          <w:p>
            <w:pPr>
              <w:spacing w:after="0"/>
              <w:rPr>
                <w:sz w:val="2"/>
                <w:szCs w:val="2"/>
                <w:color w:val="auto"/>
              </w:rPr>
            </w:pPr>
          </w:p>
        </w:tc>
        <w:tc>
          <w:tcPr>
            <w:tcW w:w="880" w:type="dxa"/>
            <w:vAlign w:val="bottom"/>
            <w:tcBorders>
              <w:bottom w:val="single" w:sz="8" w:color="949599"/>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3980" w:type="dxa"/>
            <w:vAlign w:val="bottom"/>
            <w:vMerge w:val="continue"/>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2020</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1,350,000</w:t>
            </w:r>
          </w:p>
        </w:tc>
        <w:tc>
          <w:tcPr>
            <w:tcW w:w="1660" w:type="dxa"/>
            <w:vAlign w:val="bottom"/>
            <w:gridSpan w:val="2"/>
            <w:vMerge w:val="restart"/>
          </w:tcPr>
          <w:p>
            <w:pPr>
              <w:jc w:val="right"/>
              <w:spacing w:after="0"/>
              <w:rPr>
                <w:sz w:val="20"/>
                <w:szCs w:val="20"/>
                <w:color w:val="auto"/>
              </w:rPr>
            </w:pPr>
            <w:r>
              <w:rPr>
                <w:rFonts w:ascii="Arial" w:cs="Arial" w:eastAsia="Arial" w:hAnsi="Arial"/>
                <w:sz w:val="16"/>
                <w:szCs w:val="16"/>
                <w:color w:val="auto"/>
              </w:rPr>
              <w:t>— 10,827,959</w:t>
            </w:r>
          </w:p>
        </w:tc>
        <w:tc>
          <w:tcPr>
            <w:tcW w:w="1280" w:type="dxa"/>
            <w:vAlign w:val="bottom"/>
            <w:vMerge w:val="restart"/>
          </w:tcPr>
          <w:p>
            <w:pPr>
              <w:jc w:val="right"/>
              <w:ind w:right="23"/>
              <w:spacing w:after="0"/>
              <w:rPr>
                <w:sz w:val="20"/>
                <w:szCs w:val="20"/>
                <w:color w:val="auto"/>
              </w:rPr>
            </w:pPr>
            <w:r>
              <w:rPr>
                <w:rFonts w:ascii="Arial" w:cs="Arial" w:eastAsia="Arial" w:hAnsi="Arial"/>
                <w:sz w:val="16"/>
                <w:szCs w:val="16"/>
                <w:color w:val="auto"/>
              </w:rPr>
              <w:t>3,078,000</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16,617</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324,800</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15,597,376</w:t>
            </w:r>
          </w:p>
        </w:tc>
        <w:tc>
          <w:tcPr>
            <w:tcW w:w="0" w:type="dxa"/>
            <w:vAlign w:val="bottom"/>
          </w:tcPr>
          <w:p>
            <w:pPr>
              <w:spacing w:after="0"/>
              <w:rPr>
                <w:sz w:val="1"/>
                <w:szCs w:val="1"/>
                <w:color w:val="auto"/>
              </w:rPr>
            </w:pPr>
          </w:p>
        </w:tc>
      </w:tr>
      <w:tr>
        <w:trPr>
          <w:trHeight w:val="83"/>
        </w:trPr>
        <w:tc>
          <w:tcPr>
            <w:tcW w:w="3980" w:type="dxa"/>
            <w:vAlign w:val="bottom"/>
          </w:tcPr>
          <w:p>
            <w:pPr>
              <w:spacing w:after="0"/>
              <w:rPr>
                <w:sz w:val="6"/>
                <w:szCs w:val="6"/>
                <w:color w:val="auto"/>
              </w:rPr>
            </w:pPr>
          </w:p>
        </w:tc>
        <w:tc>
          <w:tcPr>
            <w:tcW w:w="440" w:type="dxa"/>
            <w:vAlign w:val="bottom"/>
            <w:tcBorders>
              <w:bottom w:val="single" w:sz="8" w:color="949599"/>
            </w:tcBorders>
            <w:vMerge w:val="continue"/>
          </w:tcPr>
          <w:p>
            <w:pPr>
              <w:spacing w:after="0"/>
              <w:rPr>
                <w:sz w:val="6"/>
                <w:szCs w:val="6"/>
                <w:color w:val="auto"/>
              </w:rPr>
            </w:pPr>
          </w:p>
        </w:tc>
        <w:tc>
          <w:tcPr>
            <w:tcW w:w="800" w:type="dxa"/>
            <w:vAlign w:val="bottom"/>
            <w:tcBorders>
              <w:bottom w:val="single" w:sz="8" w:color="949599"/>
            </w:tcBorders>
            <w:vMerge w:val="continue"/>
          </w:tcPr>
          <w:p>
            <w:pPr>
              <w:spacing w:after="0"/>
              <w:rPr>
                <w:sz w:val="6"/>
                <w:szCs w:val="6"/>
                <w:color w:val="auto"/>
              </w:rPr>
            </w:pPr>
          </w:p>
        </w:tc>
        <w:tc>
          <w:tcPr>
            <w:tcW w:w="1660" w:type="dxa"/>
            <w:vAlign w:val="bottom"/>
            <w:tcBorders>
              <w:bottom w:val="single" w:sz="8" w:color="949599"/>
            </w:tcBorders>
            <w:gridSpan w:val="2"/>
            <w:vMerge w:val="continue"/>
          </w:tcPr>
          <w:p>
            <w:pPr>
              <w:spacing w:after="0"/>
              <w:rPr>
                <w:sz w:val="6"/>
                <w:szCs w:val="6"/>
                <w:color w:val="auto"/>
              </w:rPr>
            </w:pPr>
          </w:p>
        </w:tc>
        <w:tc>
          <w:tcPr>
            <w:tcW w:w="1280" w:type="dxa"/>
            <w:vAlign w:val="bottom"/>
            <w:tcBorders>
              <w:bottom w:val="single" w:sz="8" w:color="949599"/>
            </w:tcBorders>
            <w:vMerge w:val="continue"/>
          </w:tcPr>
          <w:p>
            <w:pPr>
              <w:spacing w:after="0"/>
              <w:rPr>
                <w:sz w:val="6"/>
                <w:szCs w:val="6"/>
                <w:color w:val="auto"/>
              </w:rPr>
            </w:pPr>
          </w:p>
        </w:tc>
        <w:tc>
          <w:tcPr>
            <w:tcW w:w="1000" w:type="dxa"/>
            <w:vAlign w:val="bottom"/>
            <w:tcBorders>
              <w:bottom w:val="single" w:sz="8" w:color="949599"/>
            </w:tcBorders>
            <w:vMerge w:val="continue"/>
          </w:tcPr>
          <w:p>
            <w:pPr>
              <w:spacing w:after="0"/>
              <w:rPr>
                <w:sz w:val="6"/>
                <w:szCs w:val="6"/>
                <w:color w:val="auto"/>
              </w:rPr>
            </w:pPr>
          </w:p>
        </w:tc>
        <w:tc>
          <w:tcPr>
            <w:tcW w:w="1200" w:type="dxa"/>
            <w:vAlign w:val="bottom"/>
            <w:tcBorders>
              <w:bottom w:val="single" w:sz="8" w:color="949599"/>
            </w:tcBorders>
            <w:vMerge w:val="continue"/>
          </w:tcPr>
          <w:p>
            <w:pPr>
              <w:spacing w:after="0"/>
              <w:rPr>
                <w:sz w:val="6"/>
                <w:szCs w:val="6"/>
                <w:color w:val="auto"/>
              </w:rPr>
            </w:pPr>
          </w:p>
        </w:tc>
        <w:tc>
          <w:tcPr>
            <w:tcW w:w="880" w:type="dxa"/>
            <w:vAlign w:val="bottom"/>
            <w:tcBorders>
              <w:bottom w:val="single" w:sz="8" w:color="949599"/>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3980" w:type="dxa"/>
            <w:vAlign w:val="bottom"/>
            <w:tcBorders>
              <w:bottom w:val="single" w:sz="8" w:color="949599"/>
            </w:tcBorders>
          </w:tcPr>
          <w:p>
            <w:pPr>
              <w:spacing w:after="0"/>
              <w:rPr>
                <w:sz w:val="20"/>
                <w:szCs w:val="20"/>
                <w:color w:val="auto"/>
              </w:rPr>
            </w:pPr>
          </w:p>
        </w:tc>
        <w:tc>
          <w:tcPr>
            <w:tcW w:w="44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2019</w:t>
            </w:r>
          </w:p>
        </w:tc>
        <w:tc>
          <w:tcPr>
            <w:tcW w:w="80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1,350,000</w:t>
            </w:r>
          </w:p>
        </w:tc>
        <w:tc>
          <w:tcPr>
            <w:tcW w:w="1660" w:type="dxa"/>
            <w:vAlign w:val="bottom"/>
            <w:tcBorders>
              <w:bottom w:val="single" w:sz="8" w:color="949599"/>
            </w:tcBorders>
            <w:gridSpan w:val="2"/>
          </w:tcPr>
          <w:p>
            <w:pPr>
              <w:jc w:val="right"/>
              <w:spacing w:after="0"/>
              <w:rPr>
                <w:sz w:val="20"/>
                <w:szCs w:val="20"/>
                <w:color w:val="auto"/>
              </w:rPr>
            </w:pPr>
            <w:r>
              <w:rPr>
                <w:rFonts w:ascii="Arial" w:cs="Arial" w:eastAsia="Arial" w:hAnsi="Arial"/>
                <w:sz w:val="16"/>
                <w:szCs w:val="16"/>
                <w:color w:val="auto"/>
              </w:rPr>
              <w:t>— 12,842,935</w:t>
            </w:r>
          </w:p>
        </w:tc>
        <w:tc>
          <w:tcPr>
            <w:tcW w:w="1280" w:type="dxa"/>
            <w:vAlign w:val="bottom"/>
            <w:tcBorders>
              <w:bottom w:val="single" w:sz="8" w:color="949599"/>
            </w:tcBorders>
          </w:tcPr>
          <w:p>
            <w:pPr>
              <w:jc w:val="right"/>
              <w:ind w:right="23"/>
              <w:spacing w:after="0"/>
              <w:rPr>
                <w:sz w:val="20"/>
                <w:szCs w:val="20"/>
                <w:color w:val="auto"/>
              </w:rPr>
            </w:pPr>
            <w:r>
              <w:rPr>
                <w:rFonts w:ascii="Arial" w:cs="Arial" w:eastAsia="Arial" w:hAnsi="Arial"/>
                <w:sz w:val="16"/>
                <w:szCs w:val="16"/>
                <w:color w:val="auto"/>
              </w:rPr>
              <w:t>2,430,000</w:t>
            </w:r>
          </w:p>
        </w:tc>
        <w:tc>
          <w:tcPr>
            <w:tcW w:w="100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7,300</w:t>
            </w:r>
          </w:p>
        </w:tc>
        <w:tc>
          <w:tcPr>
            <w:tcW w:w="120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401,722</w:t>
            </w:r>
          </w:p>
        </w:tc>
        <w:tc>
          <w:tcPr>
            <w:tcW w:w="88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17,031,957</w:t>
            </w:r>
          </w:p>
        </w:tc>
        <w:tc>
          <w:tcPr>
            <w:tcW w:w="0" w:type="dxa"/>
            <w:vAlign w:val="bottom"/>
          </w:tcPr>
          <w:p>
            <w:pPr>
              <w:spacing w:after="0"/>
              <w:rPr>
                <w:sz w:val="1"/>
                <w:szCs w:val="1"/>
                <w:color w:val="auto"/>
              </w:rPr>
            </w:pPr>
          </w:p>
        </w:tc>
      </w:tr>
      <w:tr>
        <w:trPr>
          <w:trHeight w:val="212"/>
        </w:trPr>
        <w:tc>
          <w:tcPr>
            <w:tcW w:w="3980" w:type="dxa"/>
            <w:vAlign w:val="bottom"/>
          </w:tcPr>
          <w:p>
            <w:pPr>
              <w:ind w:left="40"/>
              <w:spacing w:after="0"/>
              <w:rPr>
                <w:sz w:val="20"/>
                <w:szCs w:val="20"/>
                <w:color w:val="auto"/>
              </w:rPr>
            </w:pPr>
            <w:r>
              <w:rPr>
                <w:rFonts w:ascii="Arial" w:cs="Arial" w:eastAsia="Arial" w:hAnsi="Arial"/>
                <w:sz w:val="16"/>
                <w:szCs w:val="16"/>
                <w:b w:val="1"/>
                <w:bCs w:val="1"/>
                <w:color w:val="009A4B"/>
              </w:rPr>
              <w:t>Melissa N. Schaeffer,</w:t>
            </w:r>
          </w:p>
        </w:tc>
        <w:tc>
          <w:tcPr>
            <w:tcW w:w="440" w:type="dxa"/>
            <w:vAlign w:val="bottom"/>
          </w:tcPr>
          <w:p>
            <w:pPr>
              <w:jc w:val="right"/>
              <w:spacing w:after="0"/>
              <w:rPr>
                <w:sz w:val="20"/>
                <w:szCs w:val="20"/>
                <w:color w:val="auto"/>
              </w:rPr>
            </w:pPr>
            <w:r>
              <w:rPr>
                <w:rFonts w:ascii="Arial" w:cs="Arial" w:eastAsia="Arial" w:hAnsi="Arial"/>
                <w:sz w:val="16"/>
                <w:szCs w:val="16"/>
                <w:color w:val="auto"/>
              </w:rPr>
              <w:t>2021</w:t>
            </w:r>
          </w:p>
        </w:tc>
        <w:tc>
          <w:tcPr>
            <w:tcW w:w="800" w:type="dxa"/>
            <w:vAlign w:val="bottom"/>
          </w:tcPr>
          <w:p>
            <w:pPr>
              <w:jc w:val="right"/>
              <w:spacing w:after="0"/>
              <w:rPr>
                <w:sz w:val="20"/>
                <w:szCs w:val="20"/>
                <w:color w:val="auto"/>
              </w:rPr>
            </w:pPr>
            <w:r>
              <w:rPr>
                <w:rFonts w:ascii="Arial" w:cs="Arial" w:eastAsia="Arial" w:hAnsi="Arial"/>
                <w:sz w:val="16"/>
                <w:szCs w:val="16"/>
                <w:color w:val="auto"/>
              </w:rPr>
              <w:t>380,513</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307,263</w:t>
            </w:r>
          </w:p>
        </w:tc>
        <w:tc>
          <w:tcPr>
            <w:tcW w:w="1280" w:type="dxa"/>
            <w:vAlign w:val="bottom"/>
          </w:tcPr>
          <w:p>
            <w:pPr>
              <w:jc w:val="right"/>
              <w:ind w:right="23"/>
              <w:spacing w:after="0"/>
              <w:rPr>
                <w:sz w:val="20"/>
                <w:szCs w:val="20"/>
                <w:color w:val="auto"/>
              </w:rPr>
            </w:pPr>
            <w:r>
              <w:rPr>
                <w:rFonts w:ascii="Arial" w:cs="Arial" w:eastAsia="Arial" w:hAnsi="Arial"/>
                <w:sz w:val="16"/>
                <w:szCs w:val="16"/>
                <w:color w:val="auto"/>
              </w:rPr>
              <w:t>210,900</w:t>
            </w:r>
          </w:p>
        </w:tc>
        <w:tc>
          <w:tcPr>
            <w:tcW w:w="1000" w:type="dxa"/>
            <w:vAlign w:val="bottom"/>
          </w:tcPr>
          <w:p>
            <w:pPr>
              <w:jc w:val="right"/>
              <w:spacing w:after="0"/>
              <w:rPr>
                <w:sz w:val="20"/>
                <w:szCs w:val="20"/>
                <w:color w:val="auto"/>
              </w:rPr>
            </w:pPr>
            <w:r>
              <w:rPr>
                <w:rFonts w:ascii="Arial" w:cs="Arial" w:eastAsia="Arial" w:hAnsi="Arial"/>
                <w:sz w:val="16"/>
                <w:szCs w:val="16"/>
                <w:color w:val="auto"/>
              </w:rPr>
              <w:t>210</w:t>
            </w:r>
          </w:p>
        </w:tc>
        <w:tc>
          <w:tcPr>
            <w:tcW w:w="1200" w:type="dxa"/>
            <w:vAlign w:val="bottom"/>
          </w:tcPr>
          <w:p>
            <w:pPr>
              <w:jc w:val="right"/>
              <w:spacing w:after="0"/>
              <w:rPr>
                <w:sz w:val="20"/>
                <w:szCs w:val="20"/>
                <w:color w:val="auto"/>
              </w:rPr>
            </w:pPr>
            <w:r>
              <w:rPr>
                <w:rFonts w:ascii="Arial" w:cs="Arial" w:eastAsia="Arial" w:hAnsi="Arial"/>
                <w:sz w:val="16"/>
                <w:szCs w:val="16"/>
                <w:color w:val="auto"/>
              </w:rPr>
              <w:t>35,778</w:t>
            </w:r>
          </w:p>
        </w:tc>
        <w:tc>
          <w:tcPr>
            <w:tcW w:w="880" w:type="dxa"/>
            <w:vAlign w:val="bottom"/>
          </w:tcPr>
          <w:p>
            <w:pPr>
              <w:jc w:val="right"/>
              <w:spacing w:after="0"/>
              <w:rPr>
                <w:sz w:val="20"/>
                <w:szCs w:val="20"/>
                <w:color w:val="auto"/>
              </w:rPr>
            </w:pPr>
            <w:r>
              <w:rPr>
                <w:rFonts w:ascii="Arial" w:cs="Arial" w:eastAsia="Arial" w:hAnsi="Arial"/>
                <w:sz w:val="16"/>
                <w:szCs w:val="16"/>
                <w:color w:val="auto"/>
              </w:rPr>
              <w:t>934,664</w:t>
            </w:r>
          </w:p>
        </w:tc>
        <w:tc>
          <w:tcPr>
            <w:tcW w:w="0" w:type="dxa"/>
            <w:vAlign w:val="bottom"/>
          </w:tcPr>
          <w:p>
            <w:pPr>
              <w:spacing w:after="0"/>
              <w:rPr>
                <w:sz w:val="1"/>
                <w:szCs w:val="1"/>
                <w:color w:val="auto"/>
              </w:rPr>
            </w:pPr>
          </w:p>
        </w:tc>
      </w:tr>
      <w:tr>
        <w:trPr>
          <w:trHeight w:val="227"/>
        </w:trPr>
        <w:tc>
          <w:tcPr>
            <w:tcW w:w="3980" w:type="dxa"/>
            <w:vAlign w:val="bottom"/>
            <w:tcBorders>
              <w:bottom w:val="single" w:sz="8" w:color="949599"/>
            </w:tcBorders>
          </w:tcPr>
          <w:p>
            <w:pPr>
              <w:ind w:left="40"/>
              <w:spacing w:after="0" w:line="227" w:lineRule="exact"/>
              <w:rPr>
                <w:sz w:val="20"/>
                <w:szCs w:val="20"/>
                <w:color w:val="auto"/>
              </w:rPr>
            </w:pPr>
            <w:r>
              <w:rPr>
                <w:rFonts w:ascii="Arial" w:cs="Arial" w:eastAsia="Arial" w:hAnsi="Arial"/>
                <w:sz w:val="16"/>
                <w:szCs w:val="16"/>
                <w:color w:val="auto"/>
              </w:rPr>
              <w:t>Senior Vice President and Chief Financial Officer</w:t>
            </w:r>
            <w:r>
              <w:rPr>
                <w:rFonts w:ascii="Arial" w:cs="Arial" w:eastAsia="Arial" w:hAnsi="Arial"/>
                <w:sz w:val="26"/>
                <w:szCs w:val="26"/>
                <w:color w:val="auto"/>
                <w:vertAlign w:val="superscript"/>
              </w:rPr>
              <w:t>(7)</w:t>
            </w:r>
          </w:p>
        </w:tc>
        <w:tc>
          <w:tcPr>
            <w:tcW w:w="440" w:type="dxa"/>
            <w:vAlign w:val="bottom"/>
            <w:tcBorders>
              <w:bottom w:val="single" w:sz="8" w:color="949599"/>
            </w:tcBorders>
          </w:tcPr>
          <w:p>
            <w:pPr>
              <w:spacing w:after="0"/>
              <w:rPr>
                <w:sz w:val="19"/>
                <w:szCs w:val="19"/>
                <w:color w:val="auto"/>
              </w:rPr>
            </w:pPr>
          </w:p>
        </w:tc>
        <w:tc>
          <w:tcPr>
            <w:tcW w:w="800" w:type="dxa"/>
            <w:vAlign w:val="bottom"/>
            <w:tcBorders>
              <w:bottom w:val="single" w:sz="8" w:color="949599"/>
            </w:tcBorders>
          </w:tcPr>
          <w:p>
            <w:pPr>
              <w:spacing w:after="0"/>
              <w:rPr>
                <w:sz w:val="19"/>
                <w:szCs w:val="19"/>
                <w:color w:val="auto"/>
              </w:rPr>
            </w:pPr>
          </w:p>
        </w:tc>
        <w:tc>
          <w:tcPr>
            <w:tcW w:w="820" w:type="dxa"/>
            <w:vAlign w:val="bottom"/>
            <w:tcBorders>
              <w:bottom w:val="single" w:sz="8" w:color="949599"/>
            </w:tcBorders>
          </w:tcPr>
          <w:p>
            <w:pPr>
              <w:spacing w:after="0"/>
              <w:rPr>
                <w:sz w:val="19"/>
                <w:szCs w:val="19"/>
                <w:color w:val="auto"/>
              </w:rPr>
            </w:pPr>
          </w:p>
        </w:tc>
        <w:tc>
          <w:tcPr>
            <w:tcW w:w="840" w:type="dxa"/>
            <w:vAlign w:val="bottom"/>
            <w:tcBorders>
              <w:bottom w:val="single" w:sz="8" w:color="949599"/>
            </w:tcBorders>
          </w:tcPr>
          <w:p>
            <w:pPr>
              <w:spacing w:after="0"/>
              <w:rPr>
                <w:sz w:val="19"/>
                <w:szCs w:val="19"/>
                <w:color w:val="auto"/>
              </w:rPr>
            </w:pPr>
          </w:p>
        </w:tc>
        <w:tc>
          <w:tcPr>
            <w:tcW w:w="1280" w:type="dxa"/>
            <w:vAlign w:val="bottom"/>
            <w:tcBorders>
              <w:bottom w:val="single" w:sz="8" w:color="949599"/>
            </w:tcBorders>
          </w:tcPr>
          <w:p>
            <w:pPr>
              <w:spacing w:after="0"/>
              <w:rPr>
                <w:sz w:val="19"/>
                <w:szCs w:val="19"/>
                <w:color w:val="auto"/>
              </w:rPr>
            </w:pPr>
          </w:p>
        </w:tc>
        <w:tc>
          <w:tcPr>
            <w:tcW w:w="1000" w:type="dxa"/>
            <w:vAlign w:val="bottom"/>
            <w:tcBorders>
              <w:bottom w:val="single" w:sz="8" w:color="949599"/>
            </w:tcBorders>
          </w:tcPr>
          <w:p>
            <w:pPr>
              <w:spacing w:after="0"/>
              <w:rPr>
                <w:sz w:val="19"/>
                <w:szCs w:val="19"/>
                <w:color w:val="auto"/>
              </w:rPr>
            </w:pPr>
          </w:p>
        </w:tc>
        <w:tc>
          <w:tcPr>
            <w:tcW w:w="1200" w:type="dxa"/>
            <w:vAlign w:val="bottom"/>
            <w:tcBorders>
              <w:bottom w:val="single" w:sz="8" w:color="949599"/>
            </w:tcBorders>
          </w:tcPr>
          <w:p>
            <w:pPr>
              <w:spacing w:after="0"/>
              <w:rPr>
                <w:sz w:val="19"/>
                <w:szCs w:val="19"/>
                <w:color w:val="auto"/>
              </w:rPr>
            </w:pPr>
          </w:p>
        </w:tc>
        <w:tc>
          <w:tcPr>
            <w:tcW w:w="880" w:type="dxa"/>
            <w:vAlign w:val="bottom"/>
            <w:tcBorders>
              <w:bottom w:val="single" w:sz="8" w:color="949599"/>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980" w:type="dxa"/>
            <w:vAlign w:val="bottom"/>
          </w:tcPr>
          <w:p>
            <w:pPr>
              <w:ind w:left="40"/>
              <w:spacing w:after="0"/>
              <w:rPr>
                <w:sz w:val="20"/>
                <w:szCs w:val="20"/>
                <w:color w:val="auto"/>
              </w:rPr>
            </w:pPr>
            <w:r>
              <w:rPr>
                <w:rFonts w:ascii="Arial" w:cs="Arial" w:eastAsia="Arial" w:hAnsi="Arial"/>
                <w:sz w:val="16"/>
                <w:szCs w:val="16"/>
                <w:b w:val="1"/>
                <w:bCs w:val="1"/>
                <w:color w:val="009A4B"/>
              </w:rPr>
              <w:t>M. Scott Crocco,</w:t>
            </w:r>
          </w:p>
        </w:tc>
        <w:tc>
          <w:tcPr>
            <w:tcW w:w="440" w:type="dxa"/>
            <w:vAlign w:val="bottom"/>
          </w:tcPr>
          <w:p>
            <w:pPr>
              <w:jc w:val="right"/>
              <w:spacing w:after="0"/>
              <w:rPr>
                <w:sz w:val="20"/>
                <w:szCs w:val="20"/>
                <w:color w:val="auto"/>
              </w:rPr>
            </w:pPr>
            <w:r>
              <w:rPr>
                <w:rFonts w:ascii="Arial" w:cs="Arial" w:eastAsia="Arial" w:hAnsi="Arial"/>
                <w:sz w:val="16"/>
                <w:szCs w:val="16"/>
                <w:color w:val="auto"/>
              </w:rPr>
              <w:t>2021</w:t>
            </w:r>
          </w:p>
        </w:tc>
        <w:tc>
          <w:tcPr>
            <w:tcW w:w="800" w:type="dxa"/>
            <w:vAlign w:val="bottom"/>
          </w:tcPr>
          <w:p>
            <w:pPr>
              <w:jc w:val="right"/>
              <w:spacing w:after="0"/>
              <w:rPr>
                <w:sz w:val="20"/>
                <w:szCs w:val="20"/>
                <w:color w:val="auto"/>
              </w:rPr>
            </w:pPr>
            <w:r>
              <w:rPr>
                <w:rFonts w:ascii="Arial" w:cs="Arial" w:eastAsia="Arial" w:hAnsi="Arial"/>
                <w:sz w:val="16"/>
                <w:szCs w:val="16"/>
                <w:color w:val="auto"/>
              </w:rPr>
              <w:t>672,500</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1,581,053</w:t>
            </w:r>
          </w:p>
        </w:tc>
        <w:tc>
          <w:tcPr>
            <w:tcW w:w="1280" w:type="dxa"/>
            <w:vAlign w:val="bottom"/>
          </w:tcPr>
          <w:p>
            <w:pPr>
              <w:jc w:val="right"/>
              <w:ind w:right="23"/>
              <w:spacing w:after="0"/>
              <w:rPr>
                <w:sz w:val="20"/>
                <w:szCs w:val="20"/>
                <w:color w:val="auto"/>
              </w:rPr>
            </w:pPr>
            <w:r>
              <w:rPr>
                <w:rFonts w:ascii="Arial" w:cs="Arial" w:eastAsia="Arial" w:hAnsi="Arial"/>
                <w:sz w:val="16"/>
                <w:szCs w:val="16"/>
                <w:color w:val="auto"/>
              </w:rPr>
              <w:t>555,750</w:t>
            </w:r>
          </w:p>
        </w:tc>
        <w:tc>
          <w:tcPr>
            <w:tcW w:w="1000" w:type="dxa"/>
            <w:vAlign w:val="bottom"/>
          </w:tcPr>
          <w:p>
            <w:pPr>
              <w:jc w:val="right"/>
              <w:spacing w:after="0"/>
              <w:rPr>
                <w:sz w:val="20"/>
                <w:szCs w:val="20"/>
                <w:color w:val="auto"/>
              </w:rPr>
            </w:pPr>
            <w:r>
              <w:rPr>
                <w:rFonts w:ascii="Arial" w:cs="Arial" w:eastAsia="Arial" w:hAnsi="Arial"/>
                <w:sz w:val="16"/>
                <w:szCs w:val="16"/>
                <w:color w:val="auto"/>
              </w:rPr>
              <w:t>3,403,245</w:t>
            </w:r>
          </w:p>
        </w:tc>
        <w:tc>
          <w:tcPr>
            <w:tcW w:w="1200" w:type="dxa"/>
            <w:vAlign w:val="bottom"/>
          </w:tcPr>
          <w:p>
            <w:pPr>
              <w:jc w:val="right"/>
              <w:spacing w:after="0"/>
              <w:rPr>
                <w:sz w:val="20"/>
                <w:szCs w:val="20"/>
                <w:color w:val="auto"/>
              </w:rPr>
            </w:pPr>
            <w:r>
              <w:rPr>
                <w:rFonts w:ascii="Arial" w:cs="Arial" w:eastAsia="Arial" w:hAnsi="Arial"/>
                <w:sz w:val="16"/>
                <w:szCs w:val="16"/>
                <w:color w:val="auto"/>
              </w:rPr>
              <w:t>9,050</w:t>
            </w:r>
          </w:p>
        </w:tc>
        <w:tc>
          <w:tcPr>
            <w:tcW w:w="880" w:type="dxa"/>
            <w:vAlign w:val="bottom"/>
          </w:tcPr>
          <w:p>
            <w:pPr>
              <w:jc w:val="right"/>
              <w:spacing w:after="0"/>
              <w:rPr>
                <w:sz w:val="20"/>
                <w:szCs w:val="20"/>
                <w:color w:val="auto"/>
              </w:rPr>
            </w:pPr>
            <w:r>
              <w:rPr>
                <w:rFonts w:ascii="Arial" w:cs="Arial" w:eastAsia="Arial" w:hAnsi="Arial"/>
                <w:sz w:val="16"/>
                <w:szCs w:val="16"/>
                <w:color w:val="auto"/>
              </w:rPr>
              <w:t>6,221,598</w:t>
            </w:r>
          </w:p>
        </w:tc>
        <w:tc>
          <w:tcPr>
            <w:tcW w:w="0" w:type="dxa"/>
            <w:vAlign w:val="bottom"/>
          </w:tcPr>
          <w:p>
            <w:pPr>
              <w:spacing w:after="0"/>
              <w:rPr>
                <w:sz w:val="1"/>
                <w:szCs w:val="1"/>
                <w:color w:val="auto"/>
              </w:rPr>
            </w:pPr>
          </w:p>
        </w:tc>
      </w:tr>
      <w:tr>
        <w:trPr>
          <w:trHeight w:val="25"/>
        </w:trPr>
        <w:tc>
          <w:tcPr>
            <w:tcW w:w="3980" w:type="dxa"/>
            <w:vAlign w:val="bottom"/>
            <w:vMerge w:val="restart"/>
          </w:tcPr>
          <w:p>
            <w:pPr>
              <w:ind w:left="40"/>
              <w:spacing w:after="0"/>
              <w:rPr>
                <w:sz w:val="20"/>
                <w:szCs w:val="20"/>
                <w:color w:val="auto"/>
              </w:rPr>
            </w:pPr>
            <w:r>
              <w:rPr>
                <w:rFonts w:ascii="Arial" w:cs="Arial" w:eastAsia="Arial" w:hAnsi="Arial"/>
                <w:sz w:val="16"/>
                <w:szCs w:val="16"/>
                <w:color w:val="auto"/>
              </w:rPr>
              <w:t>Former Executive Vice President and Chief Financial</w:t>
            </w:r>
          </w:p>
        </w:tc>
        <w:tc>
          <w:tcPr>
            <w:tcW w:w="440" w:type="dxa"/>
            <w:vAlign w:val="bottom"/>
            <w:tcBorders>
              <w:bottom w:val="single" w:sz="8" w:color="949599"/>
            </w:tcBorders>
          </w:tcPr>
          <w:p>
            <w:pPr>
              <w:spacing w:after="0"/>
              <w:rPr>
                <w:sz w:val="2"/>
                <w:szCs w:val="2"/>
                <w:color w:val="auto"/>
              </w:rPr>
            </w:pPr>
          </w:p>
        </w:tc>
        <w:tc>
          <w:tcPr>
            <w:tcW w:w="800" w:type="dxa"/>
            <w:vAlign w:val="bottom"/>
            <w:tcBorders>
              <w:bottom w:val="single" w:sz="8" w:color="949599"/>
            </w:tcBorders>
          </w:tcPr>
          <w:p>
            <w:pPr>
              <w:spacing w:after="0"/>
              <w:rPr>
                <w:sz w:val="2"/>
                <w:szCs w:val="2"/>
                <w:color w:val="auto"/>
              </w:rPr>
            </w:pPr>
          </w:p>
        </w:tc>
        <w:tc>
          <w:tcPr>
            <w:tcW w:w="820" w:type="dxa"/>
            <w:vAlign w:val="bottom"/>
            <w:tcBorders>
              <w:bottom w:val="single" w:sz="8" w:color="949599"/>
            </w:tcBorders>
          </w:tcPr>
          <w:p>
            <w:pPr>
              <w:spacing w:after="0"/>
              <w:rPr>
                <w:sz w:val="2"/>
                <w:szCs w:val="2"/>
                <w:color w:val="auto"/>
              </w:rPr>
            </w:pPr>
          </w:p>
        </w:tc>
        <w:tc>
          <w:tcPr>
            <w:tcW w:w="840" w:type="dxa"/>
            <w:vAlign w:val="bottom"/>
            <w:tcBorders>
              <w:bottom w:val="single" w:sz="8" w:color="949599"/>
            </w:tcBorders>
          </w:tcPr>
          <w:p>
            <w:pPr>
              <w:spacing w:after="0"/>
              <w:rPr>
                <w:sz w:val="2"/>
                <w:szCs w:val="2"/>
                <w:color w:val="auto"/>
              </w:rPr>
            </w:pPr>
          </w:p>
        </w:tc>
        <w:tc>
          <w:tcPr>
            <w:tcW w:w="1280" w:type="dxa"/>
            <w:vAlign w:val="bottom"/>
            <w:tcBorders>
              <w:bottom w:val="single" w:sz="8" w:color="949599"/>
            </w:tcBorders>
          </w:tcPr>
          <w:p>
            <w:pPr>
              <w:spacing w:after="0"/>
              <w:rPr>
                <w:sz w:val="2"/>
                <w:szCs w:val="2"/>
                <w:color w:val="auto"/>
              </w:rPr>
            </w:pPr>
          </w:p>
        </w:tc>
        <w:tc>
          <w:tcPr>
            <w:tcW w:w="1000" w:type="dxa"/>
            <w:vAlign w:val="bottom"/>
            <w:tcBorders>
              <w:bottom w:val="single" w:sz="8" w:color="949599"/>
            </w:tcBorders>
          </w:tcPr>
          <w:p>
            <w:pPr>
              <w:spacing w:after="0"/>
              <w:rPr>
                <w:sz w:val="2"/>
                <w:szCs w:val="2"/>
                <w:color w:val="auto"/>
              </w:rPr>
            </w:pPr>
          </w:p>
        </w:tc>
        <w:tc>
          <w:tcPr>
            <w:tcW w:w="1200" w:type="dxa"/>
            <w:vAlign w:val="bottom"/>
            <w:tcBorders>
              <w:bottom w:val="single" w:sz="8" w:color="949599"/>
            </w:tcBorders>
          </w:tcPr>
          <w:p>
            <w:pPr>
              <w:spacing w:after="0"/>
              <w:rPr>
                <w:sz w:val="2"/>
                <w:szCs w:val="2"/>
                <w:color w:val="auto"/>
              </w:rPr>
            </w:pPr>
          </w:p>
        </w:tc>
        <w:tc>
          <w:tcPr>
            <w:tcW w:w="880" w:type="dxa"/>
            <w:vAlign w:val="bottom"/>
            <w:tcBorders>
              <w:bottom w:val="single" w:sz="8" w:color="949599"/>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3980" w:type="dxa"/>
            <w:vAlign w:val="bottom"/>
            <w:vMerge w:val="continue"/>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2020</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650,000</w:t>
            </w: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1,840,633</w:t>
            </w:r>
          </w:p>
        </w:tc>
        <w:tc>
          <w:tcPr>
            <w:tcW w:w="1280" w:type="dxa"/>
            <w:vAlign w:val="bottom"/>
            <w:vMerge w:val="restart"/>
          </w:tcPr>
          <w:p>
            <w:pPr>
              <w:jc w:val="right"/>
              <w:ind w:right="23"/>
              <w:spacing w:after="0"/>
              <w:rPr>
                <w:sz w:val="20"/>
                <w:szCs w:val="20"/>
                <w:color w:val="auto"/>
              </w:rPr>
            </w:pPr>
            <w:r>
              <w:rPr>
                <w:rFonts w:ascii="Arial" w:cs="Arial" w:eastAsia="Arial" w:hAnsi="Arial"/>
                <w:sz w:val="16"/>
                <w:szCs w:val="16"/>
                <w:color w:val="auto"/>
              </w:rPr>
              <w:t>839,800</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1,126,252</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9,694</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4,466,379</w:t>
            </w:r>
          </w:p>
        </w:tc>
        <w:tc>
          <w:tcPr>
            <w:tcW w:w="0" w:type="dxa"/>
            <w:vAlign w:val="bottom"/>
          </w:tcPr>
          <w:p>
            <w:pPr>
              <w:spacing w:after="0"/>
              <w:rPr>
                <w:sz w:val="1"/>
                <w:szCs w:val="1"/>
                <w:color w:val="auto"/>
              </w:rPr>
            </w:pPr>
          </w:p>
        </w:tc>
      </w:tr>
      <w:tr>
        <w:trPr>
          <w:trHeight w:val="92"/>
        </w:trPr>
        <w:tc>
          <w:tcPr>
            <w:tcW w:w="3980" w:type="dxa"/>
            <w:vAlign w:val="bottom"/>
            <w:vMerge w:val="restart"/>
          </w:tcPr>
          <w:p>
            <w:pPr>
              <w:ind w:left="40"/>
              <w:spacing w:after="0" w:line="280" w:lineRule="exact"/>
              <w:rPr>
                <w:sz w:val="20"/>
                <w:szCs w:val="20"/>
                <w:color w:val="auto"/>
              </w:rPr>
            </w:pPr>
            <w:r>
              <w:rPr>
                <w:rFonts w:ascii="Arial" w:cs="Arial" w:eastAsia="Arial" w:hAnsi="Arial"/>
                <w:sz w:val="16"/>
                <w:szCs w:val="16"/>
                <w:color w:val="auto"/>
              </w:rPr>
              <w:t>Officer</w:t>
            </w:r>
            <w:r>
              <w:rPr>
                <w:rFonts w:ascii="Arial" w:cs="Arial" w:eastAsia="Arial" w:hAnsi="Arial"/>
                <w:sz w:val="26"/>
                <w:szCs w:val="26"/>
                <w:color w:val="auto"/>
                <w:vertAlign w:val="superscript"/>
              </w:rPr>
              <w:t>(8)</w:t>
            </w:r>
          </w:p>
        </w:tc>
        <w:tc>
          <w:tcPr>
            <w:tcW w:w="440" w:type="dxa"/>
            <w:vAlign w:val="bottom"/>
            <w:tcBorders>
              <w:bottom w:val="single" w:sz="8" w:color="949599"/>
            </w:tcBorders>
            <w:vMerge w:val="continue"/>
          </w:tcPr>
          <w:p>
            <w:pPr>
              <w:spacing w:after="0"/>
              <w:rPr>
                <w:sz w:val="7"/>
                <w:szCs w:val="7"/>
                <w:color w:val="auto"/>
              </w:rPr>
            </w:pPr>
          </w:p>
        </w:tc>
        <w:tc>
          <w:tcPr>
            <w:tcW w:w="800" w:type="dxa"/>
            <w:vAlign w:val="bottom"/>
            <w:tcBorders>
              <w:bottom w:val="single" w:sz="8" w:color="949599"/>
            </w:tcBorders>
            <w:vMerge w:val="continue"/>
          </w:tcPr>
          <w:p>
            <w:pPr>
              <w:spacing w:after="0"/>
              <w:rPr>
                <w:sz w:val="7"/>
                <w:szCs w:val="7"/>
                <w:color w:val="auto"/>
              </w:rPr>
            </w:pPr>
          </w:p>
        </w:tc>
        <w:tc>
          <w:tcPr>
            <w:tcW w:w="820" w:type="dxa"/>
            <w:vAlign w:val="bottom"/>
            <w:tcBorders>
              <w:bottom w:val="single" w:sz="8" w:color="949599"/>
            </w:tcBorders>
            <w:vMerge w:val="continue"/>
          </w:tcPr>
          <w:p>
            <w:pPr>
              <w:spacing w:after="0"/>
              <w:rPr>
                <w:sz w:val="7"/>
                <w:szCs w:val="7"/>
                <w:color w:val="auto"/>
              </w:rPr>
            </w:pPr>
          </w:p>
        </w:tc>
        <w:tc>
          <w:tcPr>
            <w:tcW w:w="840" w:type="dxa"/>
            <w:vAlign w:val="bottom"/>
            <w:tcBorders>
              <w:bottom w:val="single" w:sz="8" w:color="949599"/>
            </w:tcBorders>
            <w:vMerge w:val="continue"/>
          </w:tcPr>
          <w:p>
            <w:pPr>
              <w:spacing w:after="0"/>
              <w:rPr>
                <w:sz w:val="7"/>
                <w:szCs w:val="7"/>
                <w:color w:val="auto"/>
              </w:rPr>
            </w:pPr>
          </w:p>
        </w:tc>
        <w:tc>
          <w:tcPr>
            <w:tcW w:w="1280" w:type="dxa"/>
            <w:vAlign w:val="bottom"/>
            <w:tcBorders>
              <w:bottom w:val="single" w:sz="8" w:color="949599"/>
            </w:tcBorders>
            <w:vMerge w:val="continue"/>
          </w:tcPr>
          <w:p>
            <w:pPr>
              <w:spacing w:after="0"/>
              <w:rPr>
                <w:sz w:val="7"/>
                <w:szCs w:val="7"/>
                <w:color w:val="auto"/>
              </w:rPr>
            </w:pPr>
          </w:p>
        </w:tc>
        <w:tc>
          <w:tcPr>
            <w:tcW w:w="1000" w:type="dxa"/>
            <w:vAlign w:val="bottom"/>
            <w:tcBorders>
              <w:bottom w:val="single" w:sz="8" w:color="949599"/>
            </w:tcBorders>
            <w:vMerge w:val="continue"/>
          </w:tcPr>
          <w:p>
            <w:pPr>
              <w:spacing w:after="0"/>
              <w:rPr>
                <w:sz w:val="7"/>
                <w:szCs w:val="7"/>
                <w:color w:val="auto"/>
              </w:rPr>
            </w:pPr>
          </w:p>
        </w:tc>
        <w:tc>
          <w:tcPr>
            <w:tcW w:w="1200" w:type="dxa"/>
            <w:vAlign w:val="bottom"/>
            <w:tcBorders>
              <w:bottom w:val="single" w:sz="8" w:color="949599"/>
            </w:tcBorders>
            <w:vMerge w:val="continue"/>
          </w:tcPr>
          <w:p>
            <w:pPr>
              <w:spacing w:after="0"/>
              <w:rPr>
                <w:sz w:val="7"/>
                <w:szCs w:val="7"/>
                <w:color w:val="auto"/>
              </w:rPr>
            </w:pPr>
          </w:p>
        </w:tc>
        <w:tc>
          <w:tcPr>
            <w:tcW w:w="880" w:type="dxa"/>
            <w:vAlign w:val="bottom"/>
            <w:tcBorders>
              <w:bottom w:val="single" w:sz="8" w:color="949599"/>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980" w:type="dxa"/>
            <w:vAlign w:val="bottom"/>
            <w:vMerge w:val="continue"/>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2019</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634,615</w:t>
            </w: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2,183,142</w:t>
            </w:r>
          </w:p>
        </w:tc>
        <w:tc>
          <w:tcPr>
            <w:tcW w:w="1280" w:type="dxa"/>
            <w:vAlign w:val="bottom"/>
            <w:vMerge w:val="restart"/>
          </w:tcPr>
          <w:p>
            <w:pPr>
              <w:jc w:val="right"/>
              <w:ind w:right="23"/>
              <w:spacing w:after="0"/>
              <w:rPr>
                <w:sz w:val="20"/>
                <w:szCs w:val="20"/>
                <w:color w:val="auto"/>
              </w:rPr>
            </w:pPr>
            <w:r>
              <w:rPr>
                <w:rFonts w:ascii="Arial" w:cs="Arial" w:eastAsia="Arial" w:hAnsi="Arial"/>
                <w:sz w:val="16"/>
                <w:szCs w:val="16"/>
                <w:color w:val="auto"/>
              </w:rPr>
              <w:t>663,000</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1,270,253</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10,005</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4,761,015</w:t>
            </w:r>
          </w:p>
        </w:tc>
        <w:tc>
          <w:tcPr>
            <w:tcW w:w="0" w:type="dxa"/>
            <w:vAlign w:val="bottom"/>
          </w:tcPr>
          <w:p>
            <w:pPr>
              <w:spacing w:after="0"/>
              <w:rPr>
                <w:sz w:val="1"/>
                <w:szCs w:val="1"/>
                <w:color w:val="auto"/>
              </w:rPr>
            </w:pPr>
          </w:p>
        </w:tc>
      </w:tr>
      <w:tr>
        <w:trPr>
          <w:trHeight w:val="60"/>
        </w:trPr>
        <w:tc>
          <w:tcPr>
            <w:tcW w:w="3980" w:type="dxa"/>
            <w:vAlign w:val="bottom"/>
            <w:tcBorders>
              <w:bottom w:val="single" w:sz="8" w:color="949599"/>
            </w:tcBorders>
          </w:tcPr>
          <w:p>
            <w:pPr>
              <w:spacing w:after="0"/>
              <w:rPr>
                <w:sz w:val="5"/>
                <w:szCs w:val="5"/>
                <w:color w:val="auto"/>
              </w:rPr>
            </w:pPr>
          </w:p>
        </w:tc>
        <w:tc>
          <w:tcPr>
            <w:tcW w:w="440" w:type="dxa"/>
            <w:vAlign w:val="bottom"/>
            <w:tcBorders>
              <w:bottom w:val="single" w:sz="8" w:color="949599"/>
            </w:tcBorders>
            <w:vMerge w:val="continue"/>
          </w:tcPr>
          <w:p>
            <w:pPr>
              <w:spacing w:after="0"/>
              <w:rPr>
                <w:sz w:val="5"/>
                <w:szCs w:val="5"/>
                <w:color w:val="auto"/>
              </w:rPr>
            </w:pPr>
          </w:p>
        </w:tc>
        <w:tc>
          <w:tcPr>
            <w:tcW w:w="800" w:type="dxa"/>
            <w:vAlign w:val="bottom"/>
            <w:tcBorders>
              <w:bottom w:val="single" w:sz="8" w:color="949599"/>
            </w:tcBorders>
            <w:vMerge w:val="continue"/>
          </w:tcPr>
          <w:p>
            <w:pPr>
              <w:spacing w:after="0"/>
              <w:rPr>
                <w:sz w:val="5"/>
                <w:szCs w:val="5"/>
                <w:color w:val="auto"/>
              </w:rPr>
            </w:pPr>
          </w:p>
        </w:tc>
        <w:tc>
          <w:tcPr>
            <w:tcW w:w="820" w:type="dxa"/>
            <w:vAlign w:val="bottom"/>
            <w:tcBorders>
              <w:bottom w:val="single" w:sz="8" w:color="949599"/>
            </w:tcBorders>
            <w:vMerge w:val="continue"/>
          </w:tcPr>
          <w:p>
            <w:pPr>
              <w:spacing w:after="0"/>
              <w:rPr>
                <w:sz w:val="5"/>
                <w:szCs w:val="5"/>
                <w:color w:val="auto"/>
              </w:rPr>
            </w:pPr>
          </w:p>
        </w:tc>
        <w:tc>
          <w:tcPr>
            <w:tcW w:w="840" w:type="dxa"/>
            <w:vAlign w:val="bottom"/>
            <w:tcBorders>
              <w:bottom w:val="single" w:sz="8" w:color="949599"/>
            </w:tcBorders>
            <w:vMerge w:val="continue"/>
          </w:tcPr>
          <w:p>
            <w:pPr>
              <w:spacing w:after="0"/>
              <w:rPr>
                <w:sz w:val="5"/>
                <w:szCs w:val="5"/>
                <w:color w:val="auto"/>
              </w:rPr>
            </w:pPr>
          </w:p>
        </w:tc>
        <w:tc>
          <w:tcPr>
            <w:tcW w:w="1280" w:type="dxa"/>
            <w:vAlign w:val="bottom"/>
            <w:tcBorders>
              <w:bottom w:val="single" w:sz="8" w:color="949599"/>
            </w:tcBorders>
            <w:vMerge w:val="continue"/>
          </w:tcPr>
          <w:p>
            <w:pPr>
              <w:spacing w:after="0"/>
              <w:rPr>
                <w:sz w:val="5"/>
                <w:szCs w:val="5"/>
                <w:color w:val="auto"/>
              </w:rPr>
            </w:pPr>
          </w:p>
        </w:tc>
        <w:tc>
          <w:tcPr>
            <w:tcW w:w="1000" w:type="dxa"/>
            <w:vAlign w:val="bottom"/>
            <w:tcBorders>
              <w:bottom w:val="single" w:sz="8" w:color="949599"/>
            </w:tcBorders>
            <w:vMerge w:val="continue"/>
          </w:tcPr>
          <w:p>
            <w:pPr>
              <w:spacing w:after="0"/>
              <w:rPr>
                <w:sz w:val="5"/>
                <w:szCs w:val="5"/>
                <w:color w:val="auto"/>
              </w:rPr>
            </w:pPr>
          </w:p>
        </w:tc>
        <w:tc>
          <w:tcPr>
            <w:tcW w:w="1200" w:type="dxa"/>
            <w:vAlign w:val="bottom"/>
            <w:tcBorders>
              <w:bottom w:val="single" w:sz="8" w:color="949599"/>
            </w:tcBorders>
            <w:vMerge w:val="continue"/>
          </w:tcPr>
          <w:p>
            <w:pPr>
              <w:spacing w:after="0"/>
              <w:rPr>
                <w:sz w:val="5"/>
                <w:szCs w:val="5"/>
                <w:color w:val="auto"/>
              </w:rPr>
            </w:pPr>
          </w:p>
        </w:tc>
        <w:tc>
          <w:tcPr>
            <w:tcW w:w="880" w:type="dxa"/>
            <w:vAlign w:val="bottom"/>
            <w:tcBorders>
              <w:bottom w:val="single" w:sz="8" w:color="949599"/>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3980" w:type="dxa"/>
            <w:vAlign w:val="bottom"/>
          </w:tcPr>
          <w:p>
            <w:pPr>
              <w:ind w:left="40"/>
              <w:spacing w:after="0"/>
              <w:rPr>
                <w:sz w:val="20"/>
                <w:szCs w:val="20"/>
                <w:color w:val="auto"/>
              </w:rPr>
            </w:pPr>
            <w:r>
              <w:rPr>
                <w:rFonts w:ascii="Arial" w:cs="Arial" w:eastAsia="Arial" w:hAnsi="Arial"/>
                <w:sz w:val="16"/>
                <w:szCs w:val="16"/>
                <w:b w:val="1"/>
                <w:bCs w:val="1"/>
                <w:color w:val="009A4B"/>
              </w:rPr>
              <w:t>Sean D. Major,</w:t>
            </w:r>
          </w:p>
        </w:tc>
        <w:tc>
          <w:tcPr>
            <w:tcW w:w="440" w:type="dxa"/>
            <w:vAlign w:val="bottom"/>
          </w:tcPr>
          <w:p>
            <w:pPr>
              <w:jc w:val="right"/>
              <w:spacing w:after="0"/>
              <w:rPr>
                <w:sz w:val="20"/>
                <w:szCs w:val="20"/>
                <w:color w:val="auto"/>
              </w:rPr>
            </w:pPr>
            <w:r>
              <w:rPr>
                <w:rFonts w:ascii="Arial" w:cs="Arial" w:eastAsia="Arial" w:hAnsi="Arial"/>
                <w:sz w:val="16"/>
                <w:szCs w:val="16"/>
                <w:color w:val="auto"/>
              </w:rPr>
              <w:t>2021</w:t>
            </w:r>
          </w:p>
        </w:tc>
        <w:tc>
          <w:tcPr>
            <w:tcW w:w="800" w:type="dxa"/>
            <w:vAlign w:val="bottom"/>
          </w:tcPr>
          <w:p>
            <w:pPr>
              <w:jc w:val="right"/>
              <w:spacing w:after="0"/>
              <w:rPr>
                <w:sz w:val="20"/>
                <w:szCs w:val="20"/>
                <w:color w:val="auto"/>
              </w:rPr>
            </w:pPr>
            <w:r>
              <w:rPr>
                <w:rFonts w:ascii="Arial" w:cs="Arial" w:eastAsia="Arial" w:hAnsi="Arial"/>
                <w:sz w:val="16"/>
                <w:szCs w:val="16"/>
                <w:color w:val="auto"/>
              </w:rPr>
              <w:t>571,154</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1,302,074</w:t>
            </w:r>
          </w:p>
        </w:tc>
        <w:tc>
          <w:tcPr>
            <w:tcW w:w="1280" w:type="dxa"/>
            <w:vAlign w:val="bottom"/>
          </w:tcPr>
          <w:p>
            <w:pPr>
              <w:jc w:val="right"/>
              <w:ind w:right="23"/>
              <w:spacing w:after="0"/>
              <w:rPr>
                <w:sz w:val="20"/>
                <w:szCs w:val="20"/>
                <w:color w:val="auto"/>
              </w:rPr>
            </w:pPr>
            <w:r>
              <w:rPr>
                <w:rFonts w:ascii="Arial" w:cs="Arial" w:eastAsia="Arial" w:hAnsi="Arial"/>
                <w:sz w:val="16"/>
                <w:szCs w:val="16"/>
                <w:color w:val="auto"/>
              </w:rPr>
              <w:t>470,250</w:t>
            </w:r>
          </w:p>
        </w:tc>
        <w:tc>
          <w:tcPr>
            <w:tcW w:w="1000" w:type="dxa"/>
            <w:vAlign w:val="bottom"/>
          </w:tcPr>
          <w:p>
            <w:pPr>
              <w:jc w:val="right"/>
              <w:spacing w:after="0"/>
              <w:rPr>
                <w:sz w:val="20"/>
                <w:szCs w:val="20"/>
                <w:color w:val="auto"/>
              </w:rPr>
            </w:pPr>
            <w:r>
              <w:rPr>
                <w:rFonts w:ascii="Arial" w:cs="Arial" w:eastAsia="Arial" w:hAnsi="Arial"/>
                <w:sz w:val="16"/>
                <w:szCs w:val="16"/>
                <w:color w:val="auto"/>
              </w:rPr>
              <w:t>2,063</w:t>
            </w:r>
          </w:p>
        </w:tc>
        <w:tc>
          <w:tcPr>
            <w:tcW w:w="1200" w:type="dxa"/>
            <w:vAlign w:val="bottom"/>
          </w:tcPr>
          <w:p>
            <w:pPr>
              <w:jc w:val="right"/>
              <w:spacing w:after="0"/>
              <w:rPr>
                <w:sz w:val="20"/>
                <w:szCs w:val="20"/>
                <w:color w:val="auto"/>
              </w:rPr>
            </w:pPr>
            <w:r>
              <w:rPr>
                <w:rFonts w:ascii="Arial" w:cs="Arial" w:eastAsia="Arial" w:hAnsi="Arial"/>
                <w:sz w:val="16"/>
                <w:szCs w:val="16"/>
                <w:color w:val="auto"/>
              </w:rPr>
              <w:t>64,718</w:t>
            </w:r>
          </w:p>
        </w:tc>
        <w:tc>
          <w:tcPr>
            <w:tcW w:w="880" w:type="dxa"/>
            <w:vAlign w:val="bottom"/>
          </w:tcPr>
          <w:p>
            <w:pPr>
              <w:jc w:val="right"/>
              <w:spacing w:after="0"/>
              <w:rPr>
                <w:sz w:val="20"/>
                <w:szCs w:val="20"/>
                <w:color w:val="auto"/>
              </w:rPr>
            </w:pPr>
            <w:r>
              <w:rPr>
                <w:rFonts w:ascii="Arial" w:cs="Arial" w:eastAsia="Arial" w:hAnsi="Arial"/>
                <w:sz w:val="16"/>
                <w:szCs w:val="16"/>
                <w:color w:val="auto"/>
              </w:rPr>
              <w:t>2,410,259</w:t>
            </w:r>
          </w:p>
        </w:tc>
        <w:tc>
          <w:tcPr>
            <w:tcW w:w="0" w:type="dxa"/>
            <w:vAlign w:val="bottom"/>
          </w:tcPr>
          <w:p>
            <w:pPr>
              <w:spacing w:after="0"/>
              <w:rPr>
                <w:sz w:val="1"/>
                <w:szCs w:val="1"/>
                <w:color w:val="auto"/>
              </w:rPr>
            </w:pPr>
          </w:p>
        </w:tc>
      </w:tr>
      <w:tr>
        <w:trPr>
          <w:trHeight w:val="25"/>
        </w:trPr>
        <w:tc>
          <w:tcPr>
            <w:tcW w:w="3980" w:type="dxa"/>
            <w:vAlign w:val="bottom"/>
            <w:vMerge w:val="restart"/>
          </w:tcPr>
          <w:p>
            <w:pPr>
              <w:ind w:left="40"/>
              <w:spacing w:after="0"/>
              <w:rPr>
                <w:sz w:val="20"/>
                <w:szCs w:val="20"/>
                <w:color w:val="auto"/>
              </w:rPr>
            </w:pPr>
            <w:r>
              <w:rPr>
                <w:rFonts w:ascii="Arial" w:cs="Arial" w:eastAsia="Arial" w:hAnsi="Arial"/>
                <w:sz w:val="16"/>
                <w:szCs w:val="16"/>
                <w:color w:val="auto"/>
              </w:rPr>
              <w:t>Executive Vice President, General Counsel and</w:t>
            </w:r>
          </w:p>
        </w:tc>
        <w:tc>
          <w:tcPr>
            <w:tcW w:w="440" w:type="dxa"/>
            <w:vAlign w:val="bottom"/>
            <w:tcBorders>
              <w:bottom w:val="single" w:sz="8" w:color="949599"/>
            </w:tcBorders>
          </w:tcPr>
          <w:p>
            <w:pPr>
              <w:spacing w:after="0"/>
              <w:rPr>
                <w:sz w:val="2"/>
                <w:szCs w:val="2"/>
                <w:color w:val="auto"/>
              </w:rPr>
            </w:pPr>
          </w:p>
        </w:tc>
        <w:tc>
          <w:tcPr>
            <w:tcW w:w="800" w:type="dxa"/>
            <w:vAlign w:val="bottom"/>
            <w:tcBorders>
              <w:bottom w:val="single" w:sz="8" w:color="949599"/>
            </w:tcBorders>
          </w:tcPr>
          <w:p>
            <w:pPr>
              <w:spacing w:after="0"/>
              <w:rPr>
                <w:sz w:val="2"/>
                <w:szCs w:val="2"/>
                <w:color w:val="auto"/>
              </w:rPr>
            </w:pPr>
          </w:p>
        </w:tc>
        <w:tc>
          <w:tcPr>
            <w:tcW w:w="820" w:type="dxa"/>
            <w:vAlign w:val="bottom"/>
            <w:tcBorders>
              <w:bottom w:val="single" w:sz="8" w:color="949599"/>
            </w:tcBorders>
          </w:tcPr>
          <w:p>
            <w:pPr>
              <w:spacing w:after="0"/>
              <w:rPr>
                <w:sz w:val="2"/>
                <w:szCs w:val="2"/>
                <w:color w:val="auto"/>
              </w:rPr>
            </w:pPr>
          </w:p>
        </w:tc>
        <w:tc>
          <w:tcPr>
            <w:tcW w:w="840" w:type="dxa"/>
            <w:vAlign w:val="bottom"/>
            <w:tcBorders>
              <w:bottom w:val="single" w:sz="8" w:color="949599"/>
            </w:tcBorders>
          </w:tcPr>
          <w:p>
            <w:pPr>
              <w:spacing w:after="0"/>
              <w:rPr>
                <w:sz w:val="2"/>
                <w:szCs w:val="2"/>
                <w:color w:val="auto"/>
              </w:rPr>
            </w:pPr>
          </w:p>
        </w:tc>
        <w:tc>
          <w:tcPr>
            <w:tcW w:w="1280" w:type="dxa"/>
            <w:vAlign w:val="bottom"/>
            <w:tcBorders>
              <w:bottom w:val="single" w:sz="8" w:color="949599"/>
            </w:tcBorders>
          </w:tcPr>
          <w:p>
            <w:pPr>
              <w:spacing w:after="0"/>
              <w:rPr>
                <w:sz w:val="2"/>
                <w:szCs w:val="2"/>
                <w:color w:val="auto"/>
              </w:rPr>
            </w:pPr>
          </w:p>
        </w:tc>
        <w:tc>
          <w:tcPr>
            <w:tcW w:w="1000" w:type="dxa"/>
            <w:vAlign w:val="bottom"/>
            <w:tcBorders>
              <w:bottom w:val="single" w:sz="8" w:color="949599"/>
            </w:tcBorders>
          </w:tcPr>
          <w:p>
            <w:pPr>
              <w:spacing w:after="0"/>
              <w:rPr>
                <w:sz w:val="2"/>
                <w:szCs w:val="2"/>
                <w:color w:val="auto"/>
              </w:rPr>
            </w:pPr>
          </w:p>
        </w:tc>
        <w:tc>
          <w:tcPr>
            <w:tcW w:w="1200" w:type="dxa"/>
            <w:vAlign w:val="bottom"/>
            <w:tcBorders>
              <w:bottom w:val="single" w:sz="8" w:color="949599"/>
            </w:tcBorders>
          </w:tcPr>
          <w:p>
            <w:pPr>
              <w:spacing w:after="0"/>
              <w:rPr>
                <w:sz w:val="2"/>
                <w:szCs w:val="2"/>
                <w:color w:val="auto"/>
              </w:rPr>
            </w:pPr>
          </w:p>
        </w:tc>
        <w:tc>
          <w:tcPr>
            <w:tcW w:w="880" w:type="dxa"/>
            <w:vAlign w:val="bottom"/>
            <w:tcBorders>
              <w:bottom w:val="single" w:sz="8" w:color="949599"/>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980" w:type="dxa"/>
            <w:vAlign w:val="bottom"/>
            <w:vMerge w:val="continue"/>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2020</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550,000</w:t>
            </w: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1,515,674</w:t>
            </w:r>
          </w:p>
        </w:tc>
        <w:tc>
          <w:tcPr>
            <w:tcW w:w="1280" w:type="dxa"/>
            <w:vAlign w:val="bottom"/>
            <w:vMerge w:val="restart"/>
          </w:tcPr>
          <w:p>
            <w:pPr>
              <w:jc w:val="right"/>
              <w:ind w:right="23"/>
              <w:spacing w:after="0"/>
              <w:rPr>
                <w:sz w:val="20"/>
                <w:szCs w:val="20"/>
                <w:color w:val="auto"/>
              </w:rPr>
            </w:pPr>
            <w:r>
              <w:rPr>
                <w:rFonts w:ascii="Arial" w:cs="Arial" w:eastAsia="Arial" w:hAnsi="Arial"/>
                <w:sz w:val="16"/>
                <w:szCs w:val="16"/>
                <w:color w:val="auto"/>
              </w:rPr>
              <w:t>710,600</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2,249</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56,876</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2,835,399</w:t>
            </w:r>
          </w:p>
        </w:tc>
        <w:tc>
          <w:tcPr>
            <w:tcW w:w="0" w:type="dxa"/>
            <w:vAlign w:val="bottom"/>
          </w:tcPr>
          <w:p>
            <w:pPr>
              <w:spacing w:after="0"/>
              <w:rPr>
                <w:sz w:val="1"/>
                <w:szCs w:val="1"/>
                <w:color w:val="auto"/>
              </w:rPr>
            </w:pPr>
          </w:p>
        </w:tc>
      </w:tr>
      <w:tr>
        <w:trPr>
          <w:trHeight w:val="90"/>
        </w:trPr>
        <w:tc>
          <w:tcPr>
            <w:tcW w:w="3980" w:type="dxa"/>
            <w:vAlign w:val="bottom"/>
            <w:vMerge w:val="restart"/>
          </w:tcPr>
          <w:p>
            <w:pPr>
              <w:ind w:left="40"/>
              <w:spacing w:after="0"/>
              <w:rPr>
                <w:sz w:val="20"/>
                <w:szCs w:val="20"/>
                <w:color w:val="auto"/>
              </w:rPr>
            </w:pPr>
            <w:r>
              <w:rPr>
                <w:rFonts w:ascii="Arial" w:cs="Arial" w:eastAsia="Arial" w:hAnsi="Arial"/>
                <w:sz w:val="16"/>
                <w:szCs w:val="16"/>
                <w:color w:val="auto"/>
              </w:rPr>
              <w:t>Secretary</w:t>
            </w:r>
          </w:p>
        </w:tc>
        <w:tc>
          <w:tcPr>
            <w:tcW w:w="440" w:type="dxa"/>
            <w:vAlign w:val="bottom"/>
            <w:tcBorders>
              <w:bottom w:val="single" w:sz="8" w:color="949599"/>
            </w:tcBorders>
            <w:vMerge w:val="continue"/>
          </w:tcPr>
          <w:p>
            <w:pPr>
              <w:spacing w:after="0"/>
              <w:rPr>
                <w:sz w:val="7"/>
                <w:szCs w:val="7"/>
                <w:color w:val="auto"/>
              </w:rPr>
            </w:pPr>
          </w:p>
        </w:tc>
        <w:tc>
          <w:tcPr>
            <w:tcW w:w="800" w:type="dxa"/>
            <w:vAlign w:val="bottom"/>
            <w:tcBorders>
              <w:bottom w:val="single" w:sz="8" w:color="949599"/>
            </w:tcBorders>
            <w:vMerge w:val="continue"/>
          </w:tcPr>
          <w:p>
            <w:pPr>
              <w:spacing w:after="0"/>
              <w:rPr>
                <w:sz w:val="7"/>
                <w:szCs w:val="7"/>
                <w:color w:val="auto"/>
              </w:rPr>
            </w:pPr>
          </w:p>
        </w:tc>
        <w:tc>
          <w:tcPr>
            <w:tcW w:w="820" w:type="dxa"/>
            <w:vAlign w:val="bottom"/>
            <w:tcBorders>
              <w:bottom w:val="single" w:sz="8" w:color="949599"/>
            </w:tcBorders>
            <w:vMerge w:val="continue"/>
          </w:tcPr>
          <w:p>
            <w:pPr>
              <w:spacing w:after="0"/>
              <w:rPr>
                <w:sz w:val="7"/>
                <w:szCs w:val="7"/>
                <w:color w:val="auto"/>
              </w:rPr>
            </w:pPr>
          </w:p>
        </w:tc>
        <w:tc>
          <w:tcPr>
            <w:tcW w:w="840" w:type="dxa"/>
            <w:vAlign w:val="bottom"/>
            <w:tcBorders>
              <w:bottom w:val="single" w:sz="8" w:color="949599"/>
            </w:tcBorders>
            <w:vMerge w:val="continue"/>
          </w:tcPr>
          <w:p>
            <w:pPr>
              <w:spacing w:after="0"/>
              <w:rPr>
                <w:sz w:val="7"/>
                <w:szCs w:val="7"/>
                <w:color w:val="auto"/>
              </w:rPr>
            </w:pPr>
          </w:p>
        </w:tc>
        <w:tc>
          <w:tcPr>
            <w:tcW w:w="1280" w:type="dxa"/>
            <w:vAlign w:val="bottom"/>
            <w:tcBorders>
              <w:bottom w:val="single" w:sz="8" w:color="949599"/>
            </w:tcBorders>
            <w:vMerge w:val="continue"/>
          </w:tcPr>
          <w:p>
            <w:pPr>
              <w:spacing w:after="0"/>
              <w:rPr>
                <w:sz w:val="7"/>
                <w:szCs w:val="7"/>
                <w:color w:val="auto"/>
              </w:rPr>
            </w:pPr>
          </w:p>
        </w:tc>
        <w:tc>
          <w:tcPr>
            <w:tcW w:w="1000" w:type="dxa"/>
            <w:vAlign w:val="bottom"/>
            <w:tcBorders>
              <w:bottom w:val="single" w:sz="8" w:color="949599"/>
            </w:tcBorders>
            <w:vMerge w:val="continue"/>
          </w:tcPr>
          <w:p>
            <w:pPr>
              <w:spacing w:after="0"/>
              <w:rPr>
                <w:sz w:val="7"/>
                <w:szCs w:val="7"/>
                <w:color w:val="auto"/>
              </w:rPr>
            </w:pPr>
          </w:p>
        </w:tc>
        <w:tc>
          <w:tcPr>
            <w:tcW w:w="1200" w:type="dxa"/>
            <w:vAlign w:val="bottom"/>
            <w:tcBorders>
              <w:bottom w:val="single" w:sz="8" w:color="949599"/>
            </w:tcBorders>
            <w:vMerge w:val="continue"/>
          </w:tcPr>
          <w:p>
            <w:pPr>
              <w:spacing w:after="0"/>
              <w:rPr>
                <w:sz w:val="7"/>
                <w:szCs w:val="7"/>
                <w:color w:val="auto"/>
              </w:rPr>
            </w:pPr>
          </w:p>
        </w:tc>
        <w:tc>
          <w:tcPr>
            <w:tcW w:w="880" w:type="dxa"/>
            <w:vAlign w:val="bottom"/>
            <w:tcBorders>
              <w:bottom w:val="single" w:sz="8" w:color="949599"/>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980" w:type="dxa"/>
            <w:vAlign w:val="bottom"/>
            <w:vMerge w:val="continue"/>
          </w:tcPr>
          <w:p>
            <w:pPr>
              <w:spacing w:after="0"/>
              <w:rPr>
                <w:sz w:val="7"/>
                <w:szCs w:val="7"/>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2019</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550,000</w:t>
            </w: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1,284,116</w:t>
            </w:r>
          </w:p>
        </w:tc>
        <w:tc>
          <w:tcPr>
            <w:tcW w:w="1280" w:type="dxa"/>
            <w:vAlign w:val="bottom"/>
            <w:vMerge w:val="restart"/>
          </w:tcPr>
          <w:p>
            <w:pPr>
              <w:jc w:val="right"/>
              <w:ind w:right="23"/>
              <w:spacing w:after="0"/>
              <w:rPr>
                <w:sz w:val="20"/>
                <w:szCs w:val="20"/>
                <w:color w:val="auto"/>
              </w:rPr>
            </w:pPr>
            <w:r>
              <w:rPr>
                <w:rFonts w:ascii="Arial" w:cs="Arial" w:eastAsia="Arial" w:hAnsi="Arial"/>
                <w:sz w:val="16"/>
                <w:szCs w:val="16"/>
                <w:color w:val="auto"/>
              </w:rPr>
              <w:t>561,000</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755</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58,884</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2,454,755</w:t>
            </w:r>
          </w:p>
        </w:tc>
        <w:tc>
          <w:tcPr>
            <w:tcW w:w="0" w:type="dxa"/>
            <w:vAlign w:val="bottom"/>
          </w:tcPr>
          <w:p>
            <w:pPr>
              <w:spacing w:after="0"/>
              <w:rPr>
                <w:sz w:val="1"/>
                <w:szCs w:val="1"/>
                <w:color w:val="auto"/>
              </w:rPr>
            </w:pPr>
          </w:p>
        </w:tc>
      </w:tr>
      <w:tr>
        <w:trPr>
          <w:trHeight w:val="145"/>
        </w:trPr>
        <w:tc>
          <w:tcPr>
            <w:tcW w:w="3980" w:type="dxa"/>
            <w:vAlign w:val="bottom"/>
            <w:tcBorders>
              <w:bottom w:val="single" w:sz="8" w:color="949599"/>
            </w:tcBorders>
          </w:tcPr>
          <w:p>
            <w:pPr>
              <w:spacing w:after="0"/>
              <w:rPr>
                <w:sz w:val="12"/>
                <w:szCs w:val="12"/>
                <w:color w:val="auto"/>
              </w:rPr>
            </w:pPr>
          </w:p>
        </w:tc>
        <w:tc>
          <w:tcPr>
            <w:tcW w:w="440" w:type="dxa"/>
            <w:vAlign w:val="bottom"/>
            <w:tcBorders>
              <w:bottom w:val="single" w:sz="8" w:color="949599"/>
            </w:tcBorders>
            <w:vMerge w:val="continue"/>
          </w:tcPr>
          <w:p>
            <w:pPr>
              <w:spacing w:after="0"/>
              <w:rPr>
                <w:sz w:val="12"/>
                <w:szCs w:val="12"/>
                <w:color w:val="auto"/>
              </w:rPr>
            </w:pPr>
          </w:p>
        </w:tc>
        <w:tc>
          <w:tcPr>
            <w:tcW w:w="800" w:type="dxa"/>
            <w:vAlign w:val="bottom"/>
            <w:tcBorders>
              <w:bottom w:val="single" w:sz="8" w:color="949599"/>
            </w:tcBorders>
            <w:vMerge w:val="continue"/>
          </w:tcPr>
          <w:p>
            <w:pPr>
              <w:spacing w:after="0"/>
              <w:rPr>
                <w:sz w:val="12"/>
                <w:szCs w:val="12"/>
                <w:color w:val="auto"/>
              </w:rPr>
            </w:pPr>
          </w:p>
        </w:tc>
        <w:tc>
          <w:tcPr>
            <w:tcW w:w="820" w:type="dxa"/>
            <w:vAlign w:val="bottom"/>
            <w:tcBorders>
              <w:bottom w:val="single" w:sz="8" w:color="949599"/>
            </w:tcBorders>
            <w:vMerge w:val="continue"/>
          </w:tcPr>
          <w:p>
            <w:pPr>
              <w:spacing w:after="0"/>
              <w:rPr>
                <w:sz w:val="12"/>
                <w:szCs w:val="12"/>
                <w:color w:val="auto"/>
              </w:rPr>
            </w:pPr>
          </w:p>
        </w:tc>
        <w:tc>
          <w:tcPr>
            <w:tcW w:w="840" w:type="dxa"/>
            <w:vAlign w:val="bottom"/>
            <w:tcBorders>
              <w:bottom w:val="single" w:sz="8" w:color="949599"/>
            </w:tcBorders>
            <w:vMerge w:val="continue"/>
          </w:tcPr>
          <w:p>
            <w:pPr>
              <w:spacing w:after="0"/>
              <w:rPr>
                <w:sz w:val="12"/>
                <w:szCs w:val="12"/>
                <w:color w:val="auto"/>
              </w:rPr>
            </w:pPr>
          </w:p>
        </w:tc>
        <w:tc>
          <w:tcPr>
            <w:tcW w:w="1280" w:type="dxa"/>
            <w:vAlign w:val="bottom"/>
            <w:tcBorders>
              <w:bottom w:val="single" w:sz="8" w:color="949599"/>
            </w:tcBorders>
            <w:vMerge w:val="continue"/>
          </w:tcPr>
          <w:p>
            <w:pPr>
              <w:spacing w:after="0"/>
              <w:rPr>
                <w:sz w:val="12"/>
                <w:szCs w:val="12"/>
                <w:color w:val="auto"/>
              </w:rPr>
            </w:pPr>
          </w:p>
        </w:tc>
        <w:tc>
          <w:tcPr>
            <w:tcW w:w="1000" w:type="dxa"/>
            <w:vAlign w:val="bottom"/>
            <w:tcBorders>
              <w:bottom w:val="single" w:sz="8" w:color="949599"/>
            </w:tcBorders>
            <w:vMerge w:val="continue"/>
          </w:tcPr>
          <w:p>
            <w:pPr>
              <w:spacing w:after="0"/>
              <w:rPr>
                <w:sz w:val="12"/>
                <w:szCs w:val="12"/>
                <w:color w:val="auto"/>
              </w:rPr>
            </w:pPr>
          </w:p>
        </w:tc>
        <w:tc>
          <w:tcPr>
            <w:tcW w:w="1200" w:type="dxa"/>
            <w:vAlign w:val="bottom"/>
            <w:tcBorders>
              <w:bottom w:val="single" w:sz="8" w:color="949599"/>
            </w:tcBorders>
            <w:vMerge w:val="continue"/>
          </w:tcPr>
          <w:p>
            <w:pPr>
              <w:spacing w:after="0"/>
              <w:rPr>
                <w:sz w:val="12"/>
                <w:szCs w:val="12"/>
                <w:color w:val="auto"/>
              </w:rPr>
            </w:pPr>
          </w:p>
        </w:tc>
        <w:tc>
          <w:tcPr>
            <w:tcW w:w="880" w:type="dxa"/>
            <w:vAlign w:val="bottom"/>
            <w:tcBorders>
              <w:bottom w:val="single" w:sz="8" w:color="949599"/>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980" w:type="dxa"/>
            <w:vAlign w:val="bottom"/>
          </w:tcPr>
          <w:p>
            <w:pPr>
              <w:ind w:left="40"/>
              <w:spacing w:after="0"/>
              <w:rPr>
                <w:sz w:val="20"/>
                <w:szCs w:val="20"/>
                <w:color w:val="auto"/>
              </w:rPr>
            </w:pPr>
            <w:r>
              <w:rPr>
                <w:rFonts w:ascii="Arial" w:cs="Arial" w:eastAsia="Arial" w:hAnsi="Arial"/>
                <w:sz w:val="16"/>
                <w:szCs w:val="16"/>
                <w:b w:val="1"/>
                <w:bCs w:val="1"/>
                <w:color w:val="009A4B"/>
              </w:rPr>
              <w:t>Samir J. Serhan,</w:t>
            </w:r>
          </w:p>
        </w:tc>
        <w:tc>
          <w:tcPr>
            <w:tcW w:w="440" w:type="dxa"/>
            <w:vAlign w:val="bottom"/>
          </w:tcPr>
          <w:p>
            <w:pPr>
              <w:jc w:val="right"/>
              <w:spacing w:after="0"/>
              <w:rPr>
                <w:sz w:val="20"/>
                <w:szCs w:val="20"/>
                <w:color w:val="auto"/>
              </w:rPr>
            </w:pPr>
            <w:r>
              <w:rPr>
                <w:rFonts w:ascii="Arial" w:cs="Arial" w:eastAsia="Arial" w:hAnsi="Arial"/>
                <w:sz w:val="16"/>
                <w:szCs w:val="16"/>
                <w:color w:val="auto"/>
              </w:rPr>
              <w:t>2021</w:t>
            </w:r>
          </w:p>
        </w:tc>
        <w:tc>
          <w:tcPr>
            <w:tcW w:w="800" w:type="dxa"/>
            <w:vAlign w:val="bottom"/>
          </w:tcPr>
          <w:p>
            <w:pPr>
              <w:jc w:val="right"/>
              <w:spacing w:after="0"/>
              <w:rPr>
                <w:sz w:val="20"/>
                <w:szCs w:val="20"/>
                <w:color w:val="auto"/>
              </w:rPr>
            </w:pPr>
            <w:r>
              <w:rPr>
                <w:rFonts w:ascii="Arial" w:cs="Arial" w:eastAsia="Arial" w:hAnsi="Arial"/>
                <w:sz w:val="16"/>
                <w:szCs w:val="16"/>
                <w:color w:val="auto"/>
              </w:rPr>
              <w:t>713,462</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1,860,315</w:t>
            </w:r>
          </w:p>
        </w:tc>
        <w:tc>
          <w:tcPr>
            <w:tcW w:w="1280" w:type="dxa"/>
            <w:vAlign w:val="bottom"/>
          </w:tcPr>
          <w:p>
            <w:pPr>
              <w:jc w:val="right"/>
              <w:ind w:right="23"/>
              <w:spacing w:after="0"/>
              <w:rPr>
                <w:sz w:val="20"/>
                <w:szCs w:val="20"/>
                <w:color w:val="auto"/>
              </w:rPr>
            </w:pPr>
            <w:r>
              <w:rPr>
                <w:rFonts w:ascii="Arial" w:cs="Arial" w:eastAsia="Arial" w:hAnsi="Arial"/>
                <w:sz w:val="16"/>
                <w:szCs w:val="16"/>
                <w:color w:val="auto"/>
              </w:rPr>
              <w:t>598,500</w:t>
            </w:r>
          </w:p>
        </w:tc>
        <w:tc>
          <w:tcPr>
            <w:tcW w:w="1000" w:type="dxa"/>
            <w:vAlign w:val="bottom"/>
          </w:tcPr>
          <w:p>
            <w:pPr>
              <w:jc w:val="right"/>
              <w:spacing w:after="0"/>
              <w:rPr>
                <w:sz w:val="20"/>
                <w:szCs w:val="20"/>
                <w:color w:val="auto"/>
              </w:rPr>
            </w:pPr>
            <w:r>
              <w:rPr>
                <w:rFonts w:ascii="Arial" w:cs="Arial" w:eastAsia="Arial" w:hAnsi="Arial"/>
                <w:sz w:val="16"/>
                <w:szCs w:val="16"/>
                <w:color w:val="auto"/>
              </w:rPr>
              <w:t>2,314</w:t>
            </w:r>
          </w:p>
        </w:tc>
        <w:tc>
          <w:tcPr>
            <w:tcW w:w="1200" w:type="dxa"/>
            <w:vAlign w:val="bottom"/>
          </w:tcPr>
          <w:p>
            <w:pPr>
              <w:jc w:val="right"/>
              <w:spacing w:after="0"/>
              <w:rPr>
                <w:sz w:val="20"/>
                <w:szCs w:val="20"/>
                <w:color w:val="auto"/>
              </w:rPr>
            </w:pPr>
            <w:r>
              <w:rPr>
                <w:rFonts w:ascii="Arial" w:cs="Arial" w:eastAsia="Arial" w:hAnsi="Arial"/>
                <w:sz w:val="16"/>
                <w:szCs w:val="16"/>
                <w:color w:val="auto"/>
              </w:rPr>
              <w:t>308,015</w:t>
            </w:r>
          </w:p>
        </w:tc>
        <w:tc>
          <w:tcPr>
            <w:tcW w:w="880" w:type="dxa"/>
            <w:vAlign w:val="bottom"/>
          </w:tcPr>
          <w:p>
            <w:pPr>
              <w:jc w:val="right"/>
              <w:spacing w:after="0"/>
              <w:rPr>
                <w:sz w:val="20"/>
                <w:szCs w:val="20"/>
                <w:color w:val="auto"/>
              </w:rPr>
            </w:pPr>
            <w:r>
              <w:rPr>
                <w:rFonts w:ascii="Arial" w:cs="Arial" w:eastAsia="Arial" w:hAnsi="Arial"/>
                <w:sz w:val="16"/>
                <w:szCs w:val="16"/>
                <w:color w:val="auto"/>
              </w:rPr>
              <w:t>3,482,606</w:t>
            </w:r>
          </w:p>
        </w:tc>
        <w:tc>
          <w:tcPr>
            <w:tcW w:w="0" w:type="dxa"/>
            <w:vAlign w:val="bottom"/>
          </w:tcPr>
          <w:p>
            <w:pPr>
              <w:spacing w:after="0"/>
              <w:rPr>
                <w:sz w:val="1"/>
                <w:szCs w:val="1"/>
                <w:color w:val="auto"/>
              </w:rPr>
            </w:pPr>
          </w:p>
        </w:tc>
      </w:tr>
      <w:tr>
        <w:trPr>
          <w:trHeight w:val="25"/>
        </w:trPr>
        <w:tc>
          <w:tcPr>
            <w:tcW w:w="3980" w:type="dxa"/>
            <w:vAlign w:val="bottom"/>
            <w:vMerge w:val="restart"/>
          </w:tcPr>
          <w:p>
            <w:pPr>
              <w:ind w:left="40"/>
              <w:spacing w:after="0"/>
              <w:rPr>
                <w:sz w:val="20"/>
                <w:szCs w:val="20"/>
                <w:color w:val="auto"/>
              </w:rPr>
            </w:pPr>
            <w:r>
              <w:rPr>
                <w:rFonts w:ascii="Arial" w:cs="Arial" w:eastAsia="Arial" w:hAnsi="Arial"/>
                <w:sz w:val="16"/>
                <w:szCs w:val="16"/>
                <w:color w:val="auto"/>
              </w:rPr>
              <w:t>Chief Operating Officer</w:t>
            </w:r>
          </w:p>
        </w:tc>
        <w:tc>
          <w:tcPr>
            <w:tcW w:w="440" w:type="dxa"/>
            <w:vAlign w:val="bottom"/>
            <w:tcBorders>
              <w:bottom w:val="single" w:sz="8" w:color="949599"/>
            </w:tcBorders>
          </w:tcPr>
          <w:p>
            <w:pPr>
              <w:spacing w:after="0"/>
              <w:rPr>
                <w:sz w:val="2"/>
                <w:szCs w:val="2"/>
                <w:color w:val="auto"/>
              </w:rPr>
            </w:pPr>
          </w:p>
        </w:tc>
        <w:tc>
          <w:tcPr>
            <w:tcW w:w="800" w:type="dxa"/>
            <w:vAlign w:val="bottom"/>
            <w:tcBorders>
              <w:bottom w:val="single" w:sz="8" w:color="949599"/>
            </w:tcBorders>
          </w:tcPr>
          <w:p>
            <w:pPr>
              <w:spacing w:after="0"/>
              <w:rPr>
                <w:sz w:val="2"/>
                <w:szCs w:val="2"/>
                <w:color w:val="auto"/>
              </w:rPr>
            </w:pPr>
          </w:p>
        </w:tc>
        <w:tc>
          <w:tcPr>
            <w:tcW w:w="820" w:type="dxa"/>
            <w:vAlign w:val="bottom"/>
            <w:tcBorders>
              <w:bottom w:val="single" w:sz="8" w:color="949599"/>
            </w:tcBorders>
          </w:tcPr>
          <w:p>
            <w:pPr>
              <w:spacing w:after="0"/>
              <w:rPr>
                <w:sz w:val="2"/>
                <w:szCs w:val="2"/>
                <w:color w:val="auto"/>
              </w:rPr>
            </w:pPr>
          </w:p>
        </w:tc>
        <w:tc>
          <w:tcPr>
            <w:tcW w:w="840" w:type="dxa"/>
            <w:vAlign w:val="bottom"/>
            <w:tcBorders>
              <w:bottom w:val="single" w:sz="8" w:color="949599"/>
            </w:tcBorders>
          </w:tcPr>
          <w:p>
            <w:pPr>
              <w:spacing w:after="0"/>
              <w:rPr>
                <w:sz w:val="2"/>
                <w:szCs w:val="2"/>
                <w:color w:val="auto"/>
              </w:rPr>
            </w:pPr>
          </w:p>
        </w:tc>
        <w:tc>
          <w:tcPr>
            <w:tcW w:w="1280" w:type="dxa"/>
            <w:vAlign w:val="bottom"/>
            <w:tcBorders>
              <w:bottom w:val="single" w:sz="8" w:color="949599"/>
            </w:tcBorders>
          </w:tcPr>
          <w:p>
            <w:pPr>
              <w:spacing w:after="0"/>
              <w:rPr>
                <w:sz w:val="2"/>
                <w:szCs w:val="2"/>
                <w:color w:val="auto"/>
              </w:rPr>
            </w:pPr>
          </w:p>
        </w:tc>
        <w:tc>
          <w:tcPr>
            <w:tcW w:w="1000" w:type="dxa"/>
            <w:vAlign w:val="bottom"/>
            <w:tcBorders>
              <w:bottom w:val="single" w:sz="8" w:color="949599"/>
            </w:tcBorders>
          </w:tcPr>
          <w:p>
            <w:pPr>
              <w:spacing w:after="0"/>
              <w:rPr>
                <w:sz w:val="2"/>
                <w:szCs w:val="2"/>
                <w:color w:val="auto"/>
              </w:rPr>
            </w:pPr>
          </w:p>
        </w:tc>
        <w:tc>
          <w:tcPr>
            <w:tcW w:w="1200" w:type="dxa"/>
            <w:vAlign w:val="bottom"/>
            <w:tcBorders>
              <w:bottom w:val="single" w:sz="8" w:color="949599"/>
            </w:tcBorders>
          </w:tcPr>
          <w:p>
            <w:pPr>
              <w:spacing w:after="0"/>
              <w:rPr>
                <w:sz w:val="2"/>
                <w:szCs w:val="2"/>
                <w:color w:val="auto"/>
              </w:rPr>
            </w:pPr>
          </w:p>
        </w:tc>
        <w:tc>
          <w:tcPr>
            <w:tcW w:w="880" w:type="dxa"/>
            <w:vAlign w:val="bottom"/>
            <w:tcBorders>
              <w:bottom w:val="single" w:sz="8" w:color="949599"/>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3980" w:type="dxa"/>
            <w:vAlign w:val="bottom"/>
            <w:vMerge w:val="continue"/>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2020</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650,000</w:t>
            </w: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1,840,633</w:t>
            </w:r>
          </w:p>
        </w:tc>
        <w:tc>
          <w:tcPr>
            <w:tcW w:w="1280" w:type="dxa"/>
            <w:vAlign w:val="bottom"/>
            <w:vMerge w:val="restart"/>
          </w:tcPr>
          <w:p>
            <w:pPr>
              <w:jc w:val="right"/>
              <w:ind w:right="23"/>
              <w:spacing w:after="0"/>
              <w:rPr>
                <w:sz w:val="20"/>
                <w:szCs w:val="20"/>
                <w:color w:val="auto"/>
              </w:rPr>
            </w:pPr>
            <w:r>
              <w:rPr>
                <w:rFonts w:ascii="Arial" w:cs="Arial" w:eastAsia="Arial" w:hAnsi="Arial"/>
                <w:sz w:val="16"/>
                <w:szCs w:val="16"/>
                <w:color w:val="auto"/>
              </w:rPr>
              <w:t>839,800</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2,502</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278,389</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3,611,324</w:t>
            </w:r>
          </w:p>
        </w:tc>
        <w:tc>
          <w:tcPr>
            <w:tcW w:w="0" w:type="dxa"/>
            <w:vAlign w:val="bottom"/>
          </w:tcPr>
          <w:p>
            <w:pPr>
              <w:spacing w:after="0"/>
              <w:rPr>
                <w:sz w:val="1"/>
                <w:szCs w:val="1"/>
                <w:color w:val="auto"/>
              </w:rPr>
            </w:pPr>
          </w:p>
        </w:tc>
      </w:tr>
      <w:tr>
        <w:trPr>
          <w:trHeight w:val="83"/>
        </w:trPr>
        <w:tc>
          <w:tcPr>
            <w:tcW w:w="3980" w:type="dxa"/>
            <w:vAlign w:val="bottom"/>
          </w:tcPr>
          <w:p>
            <w:pPr>
              <w:spacing w:after="0"/>
              <w:rPr>
                <w:sz w:val="6"/>
                <w:szCs w:val="6"/>
                <w:color w:val="auto"/>
              </w:rPr>
            </w:pPr>
          </w:p>
        </w:tc>
        <w:tc>
          <w:tcPr>
            <w:tcW w:w="440" w:type="dxa"/>
            <w:vAlign w:val="bottom"/>
            <w:tcBorders>
              <w:bottom w:val="single" w:sz="8" w:color="949599"/>
            </w:tcBorders>
            <w:vMerge w:val="continue"/>
          </w:tcPr>
          <w:p>
            <w:pPr>
              <w:spacing w:after="0"/>
              <w:rPr>
                <w:sz w:val="6"/>
                <w:szCs w:val="6"/>
                <w:color w:val="auto"/>
              </w:rPr>
            </w:pPr>
          </w:p>
        </w:tc>
        <w:tc>
          <w:tcPr>
            <w:tcW w:w="800" w:type="dxa"/>
            <w:vAlign w:val="bottom"/>
            <w:tcBorders>
              <w:bottom w:val="single" w:sz="8" w:color="949599"/>
            </w:tcBorders>
            <w:vMerge w:val="continue"/>
          </w:tcPr>
          <w:p>
            <w:pPr>
              <w:spacing w:after="0"/>
              <w:rPr>
                <w:sz w:val="6"/>
                <w:szCs w:val="6"/>
                <w:color w:val="auto"/>
              </w:rPr>
            </w:pPr>
          </w:p>
        </w:tc>
        <w:tc>
          <w:tcPr>
            <w:tcW w:w="820" w:type="dxa"/>
            <w:vAlign w:val="bottom"/>
            <w:tcBorders>
              <w:bottom w:val="single" w:sz="8" w:color="949599"/>
            </w:tcBorders>
            <w:vMerge w:val="continue"/>
          </w:tcPr>
          <w:p>
            <w:pPr>
              <w:spacing w:after="0"/>
              <w:rPr>
                <w:sz w:val="6"/>
                <w:szCs w:val="6"/>
                <w:color w:val="auto"/>
              </w:rPr>
            </w:pPr>
          </w:p>
        </w:tc>
        <w:tc>
          <w:tcPr>
            <w:tcW w:w="840" w:type="dxa"/>
            <w:vAlign w:val="bottom"/>
            <w:tcBorders>
              <w:bottom w:val="single" w:sz="8" w:color="949599"/>
            </w:tcBorders>
            <w:vMerge w:val="continue"/>
          </w:tcPr>
          <w:p>
            <w:pPr>
              <w:spacing w:after="0"/>
              <w:rPr>
                <w:sz w:val="6"/>
                <w:szCs w:val="6"/>
                <w:color w:val="auto"/>
              </w:rPr>
            </w:pPr>
          </w:p>
        </w:tc>
        <w:tc>
          <w:tcPr>
            <w:tcW w:w="1280" w:type="dxa"/>
            <w:vAlign w:val="bottom"/>
            <w:tcBorders>
              <w:bottom w:val="single" w:sz="8" w:color="949599"/>
            </w:tcBorders>
            <w:vMerge w:val="continue"/>
          </w:tcPr>
          <w:p>
            <w:pPr>
              <w:spacing w:after="0"/>
              <w:rPr>
                <w:sz w:val="6"/>
                <w:szCs w:val="6"/>
                <w:color w:val="auto"/>
              </w:rPr>
            </w:pPr>
          </w:p>
        </w:tc>
        <w:tc>
          <w:tcPr>
            <w:tcW w:w="1000" w:type="dxa"/>
            <w:vAlign w:val="bottom"/>
            <w:tcBorders>
              <w:bottom w:val="single" w:sz="8" w:color="949599"/>
            </w:tcBorders>
            <w:vMerge w:val="continue"/>
          </w:tcPr>
          <w:p>
            <w:pPr>
              <w:spacing w:after="0"/>
              <w:rPr>
                <w:sz w:val="6"/>
                <w:szCs w:val="6"/>
                <w:color w:val="auto"/>
              </w:rPr>
            </w:pPr>
          </w:p>
        </w:tc>
        <w:tc>
          <w:tcPr>
            <w:tcW w:w="1200" w:type="dxa"/>
            <w:vAlign w:val="bottom"/>
            <w:tcBorders>
              <w:bottom w:val="single" w:sz="8" w:color="949599"/>
            </w:tcBorders>
            <w:vMerge w:val="continue"/>
          </w:tcPr>
          <w:p>
            <w:pPr>
              <w:spacing w:after="0"/>
              <w:rPr>
                <w:sz w:val="6"/>
                <w:szCs w:val="6"/>
                <w:color w:val="auto"/>
              </w:rPr>
            </w:pPr>
          </w:p>
        </w:tc>
        <w:tc>
          <w:tcPr>
            <w:tcW w:w="880" w:type="dxa"/>
            <w:vAlign w:val="bottom"/>
            <w:tcBorders>
              <w:bottom w:val="single" w:sz="8" w:color="949599"/>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39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619,231</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1,000,000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3,753,368</w:t>
            </w:r>
          </w:p>
        </w:tc>
        <w:tc>
          <w:tcPr>
            <w:tcW w:w="12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663,000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275,930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6,312,296</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340" w:right="420" w:hanging="334"/>
        <w:spacing w:after="0" w:line="181" w:lineRule="auto"/>
        <w:tabs>
          <w:tab w:leader="none" w:pos="340" w:val="left"/>
        </w:tabs>
        <w:numPr>
          <w:ilvl w:val="0"/>
          <w:numId w:val="49"/>
        </w:numPr>
        <w:rPr>
          <w:rFonts w:ascii="Arial" w:cs="Arial" w:eastAsia="Arial" w:hAnsi="Arial"/>
          <w:sz w:val="24"/>
          <w:szCs w:val="24"/>
          <w:color w:val="auto"/>
          <w:vertAlign w:val="superscript"/>
        </w:rPr>
      </w:pPr>
      <w:r>
        <w:rPr>
          <w:rFonts w:ascii="Arial" w:cs="Arial" w:eastAsia="Arial" w:hAnsi="Arial"/>
          <w:sz w:val="14"/>
          <w:szCs w:val="14"/>
          <w:color w:val="auto"/>
        </w:rPr>
        <w:t>Fiscal 2021 had 27 pay periods instead of the normal 26 so the base salary amount is incrementally higher with no underlying increase in the base salary except for Dr. Serhan, who received a salary increase from 650,000 to 700,000 effective December 28, 2020.</w:t>
      </w:r>
    </w:p>
    <w:p>
      <w:pPr>
        <w:spacing w:after="0" w:line="96" w:lineRule="exact"/>
        <w:rPr>
          <w:rFonts w:ascii="Arial" w:cs="Arial" w:eastAsia="Arial" w:hAnsi="Arial"/>
          <w:sz w:val="24"/>
          <w:szCs w:val="24"/>
          <w:color w:val="auto"/>
          <w:vertAlign w:val="superscript"/>
        </w:rPr>
      </w:pPr>
    </w:p>
    <w:p>
      <w:pPr>
        <w:ind w:left="340" w:right="320" w:hanging="334"/>
        <w:spacing w:after="0" w:line="211" w:lineRule="auto"/>
        <w:tabs>
          <w:tab w:leader="none" w:pos="340" w:val="left"/>
        </w:tabs>
        <w:numPr>
          <w:ilvl w:val="0"/>
          <w:numId w:val="49"/>
        </w:numPr>
        <w:rPr>
          <w:rFonts w:ascii="Arial" w:cs="Arial" w:eastAsia="Arial" w:hAnsi="Arial"/>
          <w:sz w:val="24"/>
          <w:szCs w:val="24"/>
          <w:color w:val="auto"/>
          <w:vertAlign w:val="superscript"/>
        </w:rPr>
      </w:pPr>
      <w:r>
        <w:rPr>
          <w:rFonts w:ascii="Arial" w:cs="Arial" w:eastAsia="Arial" w:hAnsi="Arial"/>
          <w:sz w:val="14"/>
          <w:szCs w:val="14"/>
          <w:color w:val="auto"/>
        </w:rPr>
        <w:t>This column includes a discretionary bonus paid to Dr. Serhan based on his 2019 performance in recognition of his contribution to winning and executing large and complex projects and driving transformation across our businesses. In addition, as described on page 38 in the Compensation Discussion and Analysis, we paid discretionary bonuses in fiscal 2022 of $1,775,000, $500,000 and $1,500,000 to Messrs. Crocco and Major and Dr. Serhan, respectively, in connection with the contributions each provided to achieving the October 2021 financial closing of the Jazan gasification project. As these amounts were earned with respect to an event that occurred in fiscal 2022, they are not reflected in this table and will be reported as compensation for fiscal 2022.</w:t>
      </w:r>
    </w:p>
    <w:p>
      <w:pPr>
        <w:spacing w:after="0" w:line="96" w:lineRule="exact"/>
        <w:rPr>
          <w:rFonts w:ascii="Arial" w:cs="Arial" w:eastAsia="Arial" w:hAnsi="Arial"/>
          <w:sz w:val="24"/>
          <w:szCs w:val="24"/>
          <w:color w:val="auto"/>
          <w:vertAlign w:val="superscript"/>
        </w:rPr>
      </w:pPr>
    </w:p>
    <w:p>
      <w:pPr>
        <w:ind w:left="340" w:right="280" w:hanging="334"/>
        <w:spacing w:after="0" w:line="223" w:lineRule="auto"/>
        <w:tabs>
          <w:tab w:leader="none" w:pos="340" w:val="left"/>
        </w:tabs>
        <w:numPr>
          <w:ilvl w:val="0"/>
          <w:numId w:val="49"/>
        </w:numPr>
        <w:rPr>
          <w:rFonts w:ascii="Arial" w:cs="Arial" w:eastAsia="Arial" w:hAnsi="Arial"/>
          <w:sz w:val="24"/>
          <w:szCs w:val="24"/>
          <w:color w:val="auto"/>
          <w:vertAlign w:val="superscript"/>
        </w:rPr>
      </w:pPr>
      <w:r>
        <w:rPr>
          <w:rFonts w:ascii="Arial" w:cs="Arial" w:eastAsia="Arial" w:hAnsi="Arial"/>
          <w:sz w:val="14"/>
          <w:szCs w:val="14"/>
          <w:color w:val="auto"/>
        </w:rPr>
        <w:t xml:space="preserve">Amounts in this column represent the grant date fair value of RSUs and performance share awards granted in the fiscal year indicated, disregarding any estimate of forfeitures related to time-based vesting. Generally, the expense for these awards is recognized over the vesting or performance period unless the recipient is eligible for retirement and the award vests upon retirement, in which case the expense may be required to be recognized entirely in the year of grant. The valuation models and assumptions applicable to these grant date fair values are set forth in Note 18, </w:t>
      </w:r>
      <w:r>
        <w:rPr>
          <w:rFonts w:ascii="Arial" w:cs="Arial" w:eastAsia="Arial" w:hAnsi="Arial"/>
          <w:sz w:val="14"/>
          <w:szCs w:val="14"/>
          <w:i w:val="1"/>
          <w:iCs w:val="1"/>
          <w:color w:val="auto"/>
        </w:rPr>
        <w:t>Share-Based Compensation</w:t>
      </w:r>
      <w:r>
        <w:rPr>
          <w:rFonts w:ascii="Arial" w:cs="Arial" w:eastAsia="Arial" w:hAnsi="Arial"/>
          <w:sz w:val="14"/>
          <w:szCs w:val="14"/>
          <w:color w:val="auto"/>
        </w:rPr>
        <w:t>, to our audited financial statements included in our Annual Report on Form 10-K for the fiscal year ended September 30, 2021, which was filed with the SEC on November 18, 2021. The amounts shown may not correspond to the actual value that will be realized by the executive officers. The grant date fair values of the performance shares are based upon the grant date probable outcomes of satisfying the performance conditions stipulated in the grants. The maximum grant date values of performance share grants are reflected in the table below. Maximum values use the NYSE closing stock price on the date of grant at the maximum calculated payout of 200% as well as the maximum discretion that could be applied of 15%. For additional information on awards made in fiscal 2021, see the Grants of Plan-Based Awards Table and Outstanding Equity Awards Table on pages 49 and 50, respectively.</w:t>
      </w:r>
    </w:p>
    <w:p>
      <w:pPr>
        <w:spacing w:after="0" w:line="238" w:lineRule="exact"/>
        <w:rPr>
          <w:rFonts w:ascii="Arial" w:cs="Arial" w:eastAsia="Arial" w:hAnsi="Arial"/>
          <w:sz w:val="24"/>
          <w:szCs w:val="24"/>
          <w:color w:val="auto"/>
          <w:vertAlign w:val="superscript"/>
        </w:rPr>
      </w:pPr>
    </w:p>
    <w:p>
      <w:pPr>
        <w:ind w:left="320"/>
        <w:spacing w:after="0"/>
        <w:rPr>
          <w:rFonts w:ascii="Arial" w:cs="Arial" w:eastAsia="Arial" w:hAnsi="Arial"/>
          <w:sz w:val="24"/>
          <w:szCs w:val="24"/>
          <w:color w:val="auto"/>
          <w:vertAlign w:val="superscript"/>
        </w:rPr>
      </w:pPr>
      <w:r>
        <w:rPr>
          <w:rFonts w:ascii="Arial" w:cs="Arial" w:eastAsia="Arial" w:hAnsi="Arial"/>
          <w:sz w:val="16"/>
          <w:szCs w:val="16"/>
          <w:b w:val="1"/>
          <w:bCs w:val="1"/>
          <w:color w:val="009A4B"/>
        </w:rPr>
        <w:t>FISCAL 2021 PERFORMANCE SHARES GRANT DATE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3249930</wp:posOffset>
            </wp:positionH>
            <wp:positionV relativeFrom="paragraph">
              <wp:posOffset>-45720</wp:posOffset>
            </wp:positionV>
            <wp:extent cx="3888105" cy="8255"/>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3888105" cy="8255"/>
                    </a:xfrm>
                    <a:prstGeom prst="rect">
                      <a:avLst/>
                    </a:prstGeom>
                    <a:noFill/>
                  </pic:spPr>
                </pic:pic>
              </a:graphicData>
            </a:graphic>
          </wp:anchor>
        </w:drawing>
      </w:r>
    </w:p>
    <w:p>
      <w:pPr>
        <w:spacing w:after="0" w:line="255" w:lineRule="exact"/>
        <w:rPr>
          <w:sz w:val="20"/>
          <w:szCs w:val="20"/>
          <w:color w:val="auto"/>
        </w:rPr>
      </w:pPr>
    </w:p>
    <w:tbl>
      <w:tblPr>
        <w:tblLayout w:type="fixed"/>
        <w:tblInd w:w="320" w:type="dxa"/>
        <w:tblCellMar>
          <w:top w:w="0" w:type="dxa"/>
          <w:left w:w="0" w:type="dxa"/>
          <w:bottom w:w="0" w:type="dxa"/>
          <w:right w:w="0" w:type="dxa"/>
        </w:tblCellMar>
      </w:tblPr>
      <w:tr>
        <w:trPr>
          <w:trHeight w:val="138"/>
        </w:trPr>
        <w:tc>
          <w:tcPr>
            <w:tcW w:w="5100" w:type="dxa"/>
            <w:vAlign w:val="bottom"/>
          </w:tcPr>
          <w:p>
            <w:pPr>
              <w:spacing w:after="0"/>
              <w:rPr>
                <w:sz w:val="12"/>
                <w:szCs w:val="12"/>
                <w:color w:val="auto"/>
              </w:rPr>
            </w:pPr>
          </w:p>
        </w:tc>
        <w:tc>
          <w:tcPr>
            <w:tcW w:w="4660" w:type="dxa"/>
            <w:vAlign w:val="bottom"/>
          </w:tcPr>
          <w:p>
            <w:pPr>
              <w:jc w:val="right"/>
              <w:ind w:right="92"/>
              <w:spacing w:after="0"/>
              <w:rPr>
                <w:sz w:val="20"/>
                <w:szCs w:val="20"/>
                <w:color w:val="auto"/>
              </w:rPr>
            </w:pPr>
            <w:r>
              <w:rPr>
                <w:rFonts w:ascii="Arial" w:cs="Arial" w:eastAsia="Arial" w:hAnsi="Arial"/>
                <w:sz w:val="12"/>
                <w:szCs w:val="12"/>
                <w:b w:val="1"/>
                <w:bCs w:val="1"/>
                <w:color w:val="auto"/>
              </w:rPr>
              <w:t>Value Included</w:t>
            </w: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Maximum Value</w:t>
            </w:r>
          </w:p>
        </w:tc>
      </w:tr>
      <w:tr>
        <w:trPr>
          <w:trHeight w:val="160"/>
        </w:trPr>
        <w:tc>
          <w:tcPr>
            <w:tcW w:w="510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Officer</w:t>
            </w:r>
          </w:p>
        </w:tc>
        <w:tc>
          <w:tcPr>
            <w:tcW w:w="4660" w:type="dxa"/>
            <w:vAlign w:val="bottom"/>
            <w:tcBorders>
              <w:bottom w:val="single" w:sz="8" w:color="auto"/>
            </w:tcBorders>
          </w:tcPr>
          <w:p>
            <w:pPr>
              <w:jc w:val="right"/>
              <w:ind w:right="92"/>
              <w:spacing w:after="0"/>
              <w:rPr>
                <w:sz w:val="20"/>
                <w:szCs w:val="20"/>
                <w:color w:val="auto"/>
              </w:rPr>
            </w:pPr>
            <w:r>
              <w:rPr>
                <w:rFonts w:ascii="Arial" w:cs="Arial" w:eastAsia="Arial" w:hAnsi="Arial"/>
                <w:sz w:val="12"/>
                <w:szCs w:val="12"/>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r>
      <w:tr>
        <w:trPr>
          <w:trHeight w:val="240"/>
        </w:trPr>
        <w:tc>
          <w:tcPr>
            <w:tcW w:w="5100" w:type="dxa"/>
            <w:vAlign w:val="bottom"/>
            <w:tcBorders>
              <w:bottom w:val="single" w:sz="8" w:color="949599"/>
            </w:tcBorders>
          </w:tcPr>
          <w:p>
            <w:pPr>
              <w:ind w:left="80"/>
              <w:spacing w:after="0"/>
              <w:rPr>
                <w:sz w:val="20"/>
                <w:szCs w:val="20"/>
                <w:color w:val="auto"/>
              </w:rPr>
            </w:pPr>
            <w:r>
              <w:rPr>
                <w:rFonts w:ascii="Arial" w:cs="Arial" w:eastAsia="Arial" w:hAnsi="Arial"/>
                <w:sz w:val="14"/>
                <w:szCs w:val="14"/>
                <w:b w:val="1"/>
                <w:bCs w:val="1"/>
                <w:color w:val="009A4B"/>
              </w:rPr>
              <w:t>Seifi Ghasemi</w:t>
            </w:r>
          </w:p>
        </w:tc>
        <w:tc>
          <w:tcPr>
            <w:tcW w:w="4660" w:type="dxa"/>
            <w:vAlign w:val="bottom"/>
            <w:tcBorders>
              <w:bottom w:val="single" w:sz="8" w:color="949599"/>
            </w:tcBorders>
          </w:tcPr>
          <w:p>
            <w:pPr>
              <w:jc w:val="right"/>
              <w:ind w:right="92"/>
              <w:spacing w:after="0"/>
              <w:rPr>
                <w:sz w:val="20"/>
                <w:szCs w:val="20"/>
                <w:color w:val="auto"/>
              </w:rPr>
            </w:pPr>
            <w:r>
              <w:rPr>
                <w:rFonts w:ascii="Arial" w:cs="Arial" w:eastAsia="Arial" w:hAnsi="Arial"/>
                <w:sz w:val="14"/>
                <w:szCs w:val="14"/>
                <w:color w:val="auto"/>
              </w:rPr>
              <w:t>5,679,071</w:t>
            </w:r>
          </w:p>
        </w:tc>
        <w:tc>
          <w:tcPr>
            <w:tcW w:w="116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14,683,322</w:t>
            </w:r>
          </w:p>
        </w:tc>
      </w:tr>
      <w:tr>
        <w:trPr>
          <w:trHeight w:val="233"/>
        </w:trPr>
        <w:tc>
          <w:tcPr>
            <w:tcW w:w="5100" w:type="dxa"/>
            <w:vAlign w:val="bottom"/>
            <w:tcBorders>
              <w:bottom w:val="single" w:sz="8" w:color="949599"/>
            </w:tcBorders>
          </w:tcPr>
          <w:p>
            <w:pPr>
              <w:ind w:left="80"/>
              <w:spacing w:after="0"/>
              <w:rPr>
                <w:sz w:val="20"/>
                <w:szCs w:val="20"/>
                <w:color w:val="auto"/>
              </w:rPr>
            </w:pPr>
            <w:r>
              <w:rPr>
                <w:rFonts w:ascii="Arial" w:cs="Arial" w:eastAsia="Arial" w:hAnsi="Arial"/>
                <w:sz w:val="14"/>
                <w:szCs w:val="14"/>
                <w:b w:val="1"/>
                <w:bCs w:val="1"/>
                <w:color w:val="009A4B"/>
              </w:rPr>
              <w:t>Melissa N. Schaeffer</w:t>
            </w:r>
          </w:p>
        </w:tc>
        <w:tc>
          <w:tcPr>
            <w:tcW w:w="4660" w:type="dxa"/>
            <w:vAlign w:val="bottom"/>
            <w:tcBorders>
              <w:bottom w:val="single" w:sz="8" w:color="949599"/>
            </w:tcBorders>
          </w:tcPr>
          <w:p>
            <w:pPr>
              <w:jc w:val="right"/>
              <w:ind w:right="92"/>
              <w:spacing w:after="0"/>
              <w:rPr>
                <w:sz w:val="20"/>
                <w:szCs w:val="20"/>
                <w:color w:val="auto"/>
              </w:rPr>
            </w:pPr>
            <w:r>
              <w:rPr>
                <w:rFonts w:ascii="Arial" w:cs="Arial" w:eastAsia="Arial" w:hAnsi="Arial"/>
                <w:sz w:val="14"/>
                <w:szCs w:val="14"/>
                <w:color w:val="auto"/>
              </w:rPr>
              <w:t>170,488</w:t>
            </w:r>
          </w:p>
        </w:tc>
        <w:tc>
          <w:tcPr>
            <w:tcW w:w="116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440,798</w:t>
            </w:r>
          </w:p>
        </w:tc>
      </w:tr>
      <w:tr>
        <w:trPr>
          <w:trHeight w:val="233"/>
        </w:trPr>
        <w:tc>
          <w:tcPr>
            <w:tcW w:w="5100" w:type="dxa"/>
            <w:vAlign w:val="bottom"/>
            <w:tcBorders>
              <w:bottom w:val="single" w:sz="8" w:color="949599"/>
            </w:tcBorders>
          </w:tcPr>
          <w:p>
            <w:pPr>
              <w:ind w:left="80"/>
              <w:spacing w:after="0"/>
              <w:rPr>
                <w:sz w:val="20"/>
                <w:szCs w:val="20"/>
                <w:color w:val="auto"/>
              </w:rPr>
            </w:pPr>
            <w:r>
              <w:rPr>
                <w:rFonts w:ascii="Arial" w:cs="Arial" w:eastAsia="Arial" w:hAnsi="Arial"/>
                <w:sz w:val="14"/>
                <w:szCs w:val="14"/>
                <w:b w:val="1"/>
                <w:bCs w:val="1"/>
                <w:color w:val="009A4B"/>
              </w:rPr>
              <w:t>M. Scott Crocco</w:t>
            </w:r>
          </w:p>
        </w:tc>
        <w:tc>
          <w:tcPr>
            <w:tcW w:w="4660" w:type="dxa"/>
            <w:vAlign w:val="bottom"/>
            <w:tcBorders>
              <w:bottom w:val="single" w:sz="8" w:color="949599"/>
            </w:tcBorders>
          </w:tcPr>
          <w:p>
            <w:pPr>
              <w:jc w:val="right"/>
              <w:ind w:right="92"/>
              <w:spacing w:after="0"/>
              <w:rPr>
                <w:sz w:val="20"/>
                <w:szCs w:val="20"/>
                <w:color w:val="auto"/>
              </w:rPr>
            </w:pPr>
            <w:r>
              <w:rPr>
                <w:rFonts w:ascii="Arial" w:cs="Arial" w:eastAsia="Arial" w:hAnsi="Arial"/>
                <w:sz w:val="14"/>
                <w:szCs w:val="14"/>
                <w:color w:val="auto"/>
              </w:rPr>
              <w:t>877,634</w:t>
            </w:r>
          </w:p>
        </w:tc>
        <w:tc>
          <w:tcPr>
            <w:tcW w:w="116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2,269,135</w:t>
            </w:r>
          </w:p>
        </w:tc>
      </w:tr>
      <w:tr>
        <w:trPr>
          <w:trHeight w:val="233"/>
        </w:trPr>
        <w:tc>
          <w:tcPr>
            <w:tcW w:w="5100" w:type="dxa"/>
            <w:vAlign w:val="bottom"/>
            <w:tcBorders>
              <w:bottom w:val="single" w:sz="8" w:color="949599"/>
            </w:tcBorders>
          </w:tcPr>
          <w:p>
            <w:pPr>
              <w:ind w:left="80"/>
              <w:spacing w:after="0"/>
              <w:rPr>
                <w:sz w:val="20"/>
                <w:szCs w:val="20"/>
                <w:color w:val="auto"/>
              </w:rPr>
            </w:pPr>
            <w:r>
              <w:rPr>
                <w:rFonts w:ascii="Arial" w:cs="Arial" w:eastAsia="Arial" w:hAnsi="Arial"/>
                <w:sz w:val="14"/>
                <w:szCs w:val="14"/>
                <w:b w:val="1"/>
                <w:bCs w:val="1"/>
                <w:color w:val="009A4B"/>
              </w:rPr>
              <w:t>Sean D. Major</w:t>
            </w:r>
          </w:p>
        </w:tc>
        <w:tc>
          <w:tcPr>
            <w:tcW w:w="4660" w:type="dxa"/>
            <w:vAlign w:val="bottom"/>
            <w:tcBorders>
              <w:bottom w:val="single" w:sz="8" w:color="949599"/>
            </w:tcBorders>
          </w:tcPr>
          <w:p>
            <w:pPr>
              <w:jc w:val="right"/>
              <w:ind w:right="92"/>
              <w:spacing w:after="0"/>
              <w:rPr>
                <w:sz w:val="20"/>
                <w:szCs w:val="20"/>
                <w:color w:val="auto"/>
              </w:rPr>
            </w:pPr>
            <w:r>
              <w:rPr>
                <w:rFonts w:ascii="Arial" w:cs="Arial" w:eastAsia="Arial" w:hAnsi="Arial"/>
                <w:sz w:val="14"/>
                <w:szCs w:val="14"/>
                <w:color w:val="auto"/>
              </w:rPr>
              <w:t>722,688</w:t>
            </w:r>
          </w:p>
        </w:tc>
        <w:tc>
          <w:tcPr>
            <w:tcW w:w="116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1,868,521</w:t>
            </w:r>
          </w:p>
        </w:tc>
      </w:tr>
      <w:tr>
        <w:trPr>
          <w:trHeight w:val="240"/>
        </w:trPr>
        <w:tc>
          <w:tcPr>
            <w:tcW w:w="51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9A4B"/>
              </w:rPr>
              <w:t>Samir J. Serhan</w:t>
            </w:r>
          </w:p>
        </w:tc>
        <w:tc>
          <w:tcPr>
            <w:tcW w:w="4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1,032,580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2,669,750</w:t>
            </w:r>
          </w:p>
        </w:tc>
      </w:tr>
    </w:tbl>
    <w:p>
      <w:pPr>
        <w:ind w:left="320" w:hanging="314"/>
        <w:spacing w:after="0" w:line="210" w:lineRule="auto"/>
        <w:tabs>
          <w:tab w:leader="none" w:pos="320" w:val="left"/>
        </w:tabs>
        <w:numPr>
          <w:ilvl w:val="0"/>
          <w:numId w:val="50"/>
        </w:numPr>
        <w:rPr>
          <w:rFonts w:ascii="Arial" w:cs="Arial" w:eastAsia="Arial" w:hAnsi="Arial"/>
          <w:sz w:val="24"/>
          <w:szCs w:val="24"/>
          <w:color w:val="auto"/>
          <w:vertAlign w:val="superscript"/>
        </w:rPr>
      </w:pPr>
      <w:r>
        <w:rPr>
          <w:rFonts w:ascii="Arial" w:cs="Arial" w:eastAsia="Arial" w:hAnsi="Arial"/>
          <w:sz w:val="14"/>
          <w:szCs w:val="14"/>
          <w:color w:val="auto"/>
        </w:rPr>
        <w:t>Amounts in this column reflect Annual Incentive Plan awards. At their election, executive officers may defer awards received under this Plan.</w:t>
      </w:r>
    </w:p>
    <w:p>
      <w:pPr>
        <w:spacing w:after="0" w:line="12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7155180" cy="20955"/>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7" w:lineRule="exact"/>
        <w:rPr>
          <w:sz w:val="20"/>
          <w:szCs w:val="20"/>
          <w:color w:val="auto"/>
        </w:rPr>
      </w:pPr>
    </w:p>
    <w:p>
      <w:pPr>
        <w:ind w:left="320" w:right="160" w:hanging="314"/>
        <w:spacing w:after="0" w:line="211" w:lineRule="auto"/>
        <w:tabs>
          <w:tab w:leader="none" w:pos="320" w:val="left"/>
        </w:tabs>
        <w:numPr>
          <w:ilvl w:val="0"/>
          <w:numId w:val="51"/>
        </w:numPr>
        <w:rPr>
          <w:rFonts w:ascii="Arial" w:cs="Arial" w:eastAsia="Arial" w:hAnsi="Arial"/>
          <w:sz w:val="24"/>
          <w:szCs w:val="24"/>
          <w:color w:val="auto"/>
          <w:vertAlign w:val="superscript"/>
        </w:rPr>
      </w:pPr>
      <w:r>
        <w:rPr>
          <w:rFonts w:ascii="Arial" w:cs="Arial" w:eastAsia="Arial" w:hAnsi="Arial"/>
          <w:sz w:val="14"/>
          <w:szCs w:val="14"/>
          <w:color w:val="auto"/>
        </w:rPr>
        <w:t>Amounts in this column reflect the annual change in the actuarial present value of each executive officer’s accumulated tax-qualified and nonqualified pension benefits and interest considered to be above-market interest credited to their Deferred Compensation Plan balances. Interest is calculated for the Deferred Compensation Plan accounts using a Moody’s A-rated Corporate Bond Rate, which is comparable to the rate the Company pays its other creditors on long-term obligations. When this rate exceeds 120% of a rate set by the U.S. Internal Revenue Service, it is treated as above-market interest, even though it is based on a market average for corporate bonds. The amounts included as above-market interest were as follows:</w:t>
      </w:r>
    </w:p>
    <w:p>
      <w:pPr>
        <w:spacing w:after="0" w:line="126" w:lineRule="exact"/>
        <w:rPr>
          <w:rFonts w:ascii="Arial" w:cs="Arial" w:eastAsia="Arial" w:hAnsi="Arial"/>
          <w:sz w:val="24"/>
          <w:szCs w:val="24"/>
          <w:color w:val="auto"/>
          <w:vertAlign w:val="superscript"/>
        </w:rPr>
      </w:pPr>
    </w:p>
    <w:p>
      <w:pPr>
        <w:ind w:left="320"/>
        <w:spacing w:after="0"/>
        <w:rPr>
          <w:rFonts w:ascii="Arial" w:cs="Arial" w:eastAsia="Arial" w:hAnsi="Arial"/>
          <w:sz w:val="24"/>
          <w:szCs w:val="24"/>
          <w:color w:val="auto"/>
          <w:vertAlign w:val="superscript"/>
        </w:rPr>
      </w:pPr>
      <w:r>
        <w:rPr>
          <w:rFonts w:ascii="Arial" w:cs="Arial" w:eastAsia="Arial" w:hAnsi="Arial"/>
          <w:sz w:val="16"/>
          <w:szCs w:val="16"/>
          <w:b w:val="1"/>
          <w:bCs w:val="1"/>
          <w:color w:val="009A4B"/>
        </w:rPr>
        <w:t>ABOVE-MARKET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1601470</wp:posOffset>
            </wp:positionH>
            <wp:positionV relativeFrom="paragraph">
              <wp:posOffset>-45720</wp:posOffset>
            </wp:positionV>
            <wp:extent cx="5536565" cy="8255"/>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5536565" cy="8255"/>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156845</wp:posOffset>
            </wp:positionV>
            <wp:extent cx="6931660" cy="17145"/>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6931660" cy="17145"/>
                    </a:xfrm>
                    <a:prstGeom prst="rect">
                      <a:avLst/>
                    </a:prstGeom>
                    <a:noFill/>
                  </pic:spPr>
                </pic:pic>
              </a:graphicData>
            </a:graphic>
          </wp:anchor>
        </w:drawing>
      </w:r>
    </w:p>
    <w:p>
      <w:pPr>
        <w:spacing w:after="0" w:line="267"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5860" w:type="dxa"/>
            <w:vAlign w:val="bottom"/>
            <w:tcBorders>
              <w:bottom w:val="single" w:sz="8" w:color="949599"/>
            </w:tcBorders>
          </w:tcPr>
          <w:p>
            <w:pPr>
              <w:ind w:left="40"/>
              <w:spacing w:after="0"/>
              <w:rPr>
                <w:sz w:val="20"/>
                <w:szCs w:val="20"/>
                <w:color w:val="auto"/>
              </w:rPr>
            </w:pPr>
            <w:r>
              <w:rPr>
                <w:rFonts w:ascii="Arial" w:cs="Arial" w:eastAsia="Arial" w:hAnsi="Arial"/>
                <w:sz w:val="14"/>
                <w:szCs w:val="14"/>
                <w:b w:val="1"/>
                <w:bCs w:val="1"/>
                <w:color w:val="009A4B"/>
              </w:rPr>
              <w:t>Seifi Ghasemi</w:t>
            </w:r>
          </w:p>
        </w:tc>
        <w:tc>
          <w:tcPr>
            <w:tcW w:w="454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13,911</w:t>
            </w:r>
          </w:p>
        </w:tc>
      </w:tr>
      <w:tr>
        <w:trPr>
          <w:trHeight w:val="206"/>
        </w:trPr>
        <w:tc>
          <w:tcPr>
            <w:tcW w:w="5860" w:type="dxa"/>
            <w:vAlign w:val="bottom"/>
            <w:tcBorders>
              <w:bottom w:val="single" w:sz="8" w:color="949599"/>
            </w:tcBorders>
          </w:tcPr>
          <w:p>
            <w:pPr>
              <w:ind w:left="40"/>
              <w:spacing w:after="0"/>
              <w:rPr>
                <w:sz w:val="20"/>
                <w:szCs w:val="20"/>
                <w:color w:val="auto"/>
              </w:rPr>
            </w:pPr>
            <w:r>
              <w:rPr>
                <w:rFonts w:ascii="Arial" w:cs="Arial" w:eastAsia="Arial" w:hAnsi="Arial"/>
                <w:sz w:val="14"/>
                <w:szCs w:val="14"/>
                <w:b w:val="1"/>
                <w:bCs w:val="1"/>
                <w:color w:val="009A4B"/>
              </w:rPr>
              <w:t>Melissa N. Schaeffer</w:t>
            </w:r>
          </w:p>
        </w:tc>
        <w:tc>
          <w:tcPr>
            <w:tcW w:w="454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210</w:t>
            </w:r>
          </w:p>
        </w:tc>
      </w:tr>
      <w:tr>
        <w:trPr>
          <w:trHeight w:val="206"/>
        </w:trPr>
        <w:tc>
          <w:tcPr>
            <w:tcW w:w="5860" w:type="dxa"/>
            <w:vAlign w:val="bottom"/>
            <w:tcBorders>
              <w:bottom w:val="single" w:sz="8" w:color="949599"/>
            </w:tcBorders>
          </w:tcPr>
          <w:p>
            <w:pPr>
              <w:ind w:left="40"/>
              <w:spacing w:after="0"/>
              <w:rPr>
                <w:sz w:val="20"/>
                <w:szCs w:val="20"/>
                <w:color w:val="auto"/>
              </w:rPr>
            </w:pPr>
            <w:r>
              <w:rPr>
                <w:rFonts w:ascii="Arial" w:cs="Arial" w:eastAsia="Arial" w:hAnsi="Arial"/>
                <w:sz w:val="14"/>
                <w:szCs w:val="14"/>
                <w:b w:val="1"/>
                <w:bCs w:val="1"/>
                <w:color w:val="009A4B"/>
              </w:rPr>
              <w:t>M. Scott Crocco</w:t>
            </w:r>
          </w:p>
        </w:tc>
        <w:tc>
          <w:tcPr>
            <w:tcW w:w="454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9,549</w:t>
            </w:r>
          </w:p>
        </w:tc>
      </w:tr>
      <w:tr>
        <w:trPr>
          <w:trHeight w:val="206"/>
        </w:trPr>
        <w:tc>
          <w:tcPr>
            <w:tcW w:w="5860" w:type="dxa"/>
            <w:vAlign w:val="bottom"/>
            <w:tcBorders>
              <w:bottom w:val="single" w:sz="8" w:color="949599"/>
            </w:tcBorders>
          </w:tcPr>
          <w:p>
            <w:pPr>
              <w:ind w:left="40"/>
              <w:spacing w:after="0"/>
              <w:rPr>
                <w:sz w:val="20"/>
                <w:szCs w:val="20"/>
                <w:color w:val="auto"/>
              </w:rPr>
            </w:pPr>
            <w:r>
              <w:rPr>
                <w:rFonts w:ascii="Arial" w:cs="Arial" w:eastAsia="Arial" w:hAnsi="Arial"/>
                <w:sz w:val="14"/>
                <w:szCs w:val="14"/>
                <w:b w:val="1"/>
                <w:bCs w:val="1"/>
                <w:color w:val="009A4B"/>
              </w:rPr>
              <w:t>Sean D. Major</w:t>
            </w:r>
          </w:p>
        </w:tc>
        <w:tc>
          <w:tcPr>
            <w:tcW w:w="454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2,063</w:t>
            </w:r>
          </w:p>
        </w:tc>
      </w:tr>
      <w:tr>
        <w:trPr>
          <w:trHeight w:val="219"/>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009A4B"/>
              </w:rPr>
              <w:t>Samir J. Serhan</w:t>
            </w:r>
          </w:p>
        </w:tc>
        <w:tc>
          <w:tcPr>
            <w:tcW w:w="4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2,314</w:t>
            </w:r>
          </w:p>
        </w:tc>
      </w:tr>
    </w:tbl>
    <w:p>
      <w:pPr>
        <w:spacing w:after="0" w:line="151" w:lineRule="exact"/>
        <w:rPr>
          <w:sz w:val="20"/>
          <w:szCs w:val="20"/>
          <w:color w:val="auto"/>
        </w:rPr>
      </w:pPr>
    </w:p>
    <w:p>
      <w:pPr>
        <w:ind w:left="320" w:right="140"/>
        <w:spacing w:after="0" w:line="245" w:lineRule="auto"/>
        <w:rPr>
          <w:sz w:val="20"/>
          <w:szCs w:val="20"/>
          <w:color w:val="auto"/>
        </w:rPr>
      </w:pPr>
      <w:r>
        <w:rPr>
          <w:rFonts w:ascii="Arial" w:cs="Arial" w:eastAsia="Arial" w:hAnsi="Arial"/>
          <w:sz w:val="14"/>
          <w:szCs w:val="14"/>
          <w:color w:val="auto"/>
        </w:rPr>
        <w:t>The pension accrual amounts represent the difference between the September 30, 2021 and September 30, 2020 actuarial present value of accumulated benefits under the Company’s tax-qualified and nonqualified pension plans for those executive officers who participate in the pension plans. No amounts are shown in the Summary Compensation Table for negative changes in value. The pension accrual amounts are as follows: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009A4B"/>
        </w:rPr>
        <w:t>PENSION ACCRUALS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-45720</wp:posOffset>
            </wp:positionV>
            <wp:extent cx="5840730" cy="8255"/>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5840730" cy="8255"/>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173355</wp:posOffset>
            </wp:positionV>
            <wp:extent cx="6931660" cy="17145"/>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6931660" cy="17145"/>
                    </a:xfrm>
                    <a:prstGeom prst="rect">
                      <a:avLst/>
                    </a:prstGeom>
                    <a:noFill/>
                  </pic:spPr>
                </pic:pic>
              </a:graphicData>
            </a:graphic>
          </wp:anchor>
        </w:drawing>
      </w:r>
    </w:p>
    <w:p>
      <w:pPr>
        <w:spacing w:after="0" w:line="293" w:lineRule="exact"/>
        <w:rPr>
          <w:sz w:val="20"/>
          <w:szCs w:val="20"/>
          <w:color w:val="auto"/>
        </w:rPr>
      </w:pPr>
    </w:p>
    <w:tbl>
      <w:tblPr>
        <w:tblLayout w:type="fixed"/>
        <w:tblInd w:w="320" w:type="dxa"/>
        <w:tblCellMar>
          <w:top w:w="0" w:type="dxa"/>
          <w:left w:w="0" w:type="dxa"/>
          <w:bottom w:w="0" w:type="dxa"/>
          <w:right w:w="0" w:type="dxa"/>
        </w:tblCellMar>
      </w:tblPr>
      <w:tr>
        <w:trPr>
          <w:trHeight w:val="206"/>
        </w:trPr>
        <w:tc>
          <w:tcPr>
            <w:tcW w:w="5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009A4B"/>
              </w:rPr>
              <w:t>M. Scott Crocco</w:t>
            </w:r>
          </w:p>
        </w:tc>
        <w:tc>
          <w:tcPr>
            <w:tcW w:w="5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$ 3,393,696</w:t>
            </w:r>
          </w:p>
        </w:tc>
      </w:tr>
    </w:tbl>
    <w:p>
      <w:pPr>
        <w:spacing w:after="0" w:line="138" w:lineRule="exact"/>
        <w:rPr>
          <w:sz w:val="20"/>
          <w:szCs w:val="20"/>
          <w:color w:val="auto"/>
        </w:rPr>
      </w:pPr>
    </w:p>
    <w:p>
      <w:pPr>
        <w:ind w:left="320" w:right="40"/>
        <w:spacing w:after="0" w:line="252" w:lineRule="auto"/>
        <w:rPr>
          <w:sz w:val="20"/>
          <w:szCs w:val="20"/>
          <w:color w:val="auto"/>
        </w:rPr>
      </w:pPr>
      <w:r>
        <w:rPr>
          <w:rFonts w:ascii="Arial" w:cs="Arial" w:eastAsia="Arial" w:hAnsi="Arial"/>
          <w:sz w:val="14"/>
          <w:szCs w:val="14"/>
          <w:color w:val="auto"/>
        </w:rPr>
        <w:t>No changes were made to pension benefit formulas for this year. Changes in pension value can result from additional years of service, changes in pensionable compensation and changes to discount and mortality rates. Additional information on how these amounts are calculated is included in the text accompanying the Pension Benefits table.</w:t>
      </w:r>
    </w:p>
    <w:p>
      <w:pPr>
        <w:ind w:left="320" w:hanging="314"/>
        <w:spacing w:after="0" w:line="224" w:lineRule="auto"/>
        <w:tabs>
          <w:tab w:leader="none" w:pos="320" w:val="left"/>
        </w:tabs>
        <w:numPr>
          <w:ilvl w:val="0"/>
          <w:numId w:val="52"/>
        </w:numPr>
        <w:rPr>
          <w:rFonts w:ascii="Arial" w:cs="Arial" w:eastAsia="Arial" w:hAnsi="Arial"/>
          <w:sz w:val="24"/>
          <w:szCs w:val="24"/>
          <w:color w:val="auto"/>
          <w:vertAlign w:val="superscript"/>
        </w:rPr>
      </w:pPr>
      <w:r>
        <w:rPr>
          <w:rFonts w:ascii="Arial" w:cs="Arial" w:eastAsia="Arial" w:hAnsi="Arial"/>
          <w:sz w:val="14"/>
          <w:szCs w:val="14"/>
          <w:color w:val="auto"/>
        </w:rPr>
        <w:t>Amounts shown in this column are detailed in the chart below.</w:t>
      </w:r>
    </w:p>
    <w:p>
      <w:pPr>
        <w:spacing w:after="0" w:line="113" w:lineRule="exact"/>
        <w:rPr>
          <w:sz w:val="20"/>
          <w:szCs w:val="20"/>
          <w:color w:val="auto"/>
        </w:rPr>
      </w:pPr>
    </w:p>
    <w:tbl>
      <w:tblPr>
        <w:tblLayout w:type="fixed"/>
        <w:tblInd w:w="320" w:type="dxa"/>
        <w:tblCellMar>
          <w:top w:w="0" w:type="dxa"/>
          <w:left w:w="0" w:type="dxa"/>
          <w:bottom w:w="0" w:type="dxa"/>
          <w:right w:w="0" w:type="dxa"/>
        </w:tblCellMar>
      </w:tblPr>
      <w:tr>
        <w:trPr>
          <w:trHeight w:val="152"/>
        </w:trPr>
        <w:tc>
          <w:tcPr>
            <w:tcW w:w="3540" w:type="dxa"/>
            <w:vAlign w:val="bottom"/>
          </w:tcPr>
          <w:p>
            <w:pPr>
              <w:spacing w:after="0"/>
              <w:rPr>
                <w:sz w:val="13"/>
                <w:szCs w:val="13"/>
                <w:color w:val="auto"/>
              </w:rPr>
            </w:pPr>
          </w:p>
        </w:tc>
        <w:tc>
          <w:tcPr>
            <w:tcW w:w="3480" w:type="dxa"/>
            <w:vAlign w:val="bottom"/>
          </w:tcPr>
          <w:p>
            <w:pPr>
              <w:jc w:val="right"/>
              <w:ind w:right="173"/>
              <w:spacing w:after="0"/>
              <w:rPr>
                <w:sz w:val="20"/>
                <w:szCs w:val="20"/>
                <w:color w:val="auto"/>
              </w:rPr>
            </w:pPr>
            <w:r>
              <w:rPr>
                <w:rFonts w:ascii="Arial" w:cs="Arial" w:eastAsia="Arial" w:hAnsi="Arial"/>
                <w:sz w:val="12"/>
                <w:szCs w:val="12"/>
                <w:b w:val="1"/>
                <w:bCs w:val="1"/>
                <w:color w:val="auto"/>
              </w:rPr>
              <w:t>Contributions</w:t>
            </w:r>
          </w:p>
        </w:tc>
        <w:tc>
          <w:tcPr>
            <w:tcW w:w="1320" w:type="dxa"/>
            <w:vAlign w:val="bottom"/>
          </w:tcPr>
          <w:p>
            <w:pPr>
              <w:jc w:val="right"/>
              <w:ind w:right="193"/>
              <w:spacing w:after="0"/>
              <w:rPr>
                <w:sz w:val="20"/>
                <w:szCs w:val="20"/>
                <w:color w:val="auto"/>
              </w:rPr>
            </w:pPr>
            <w:r>
              <w:rPr>
                <w:rFonts w:ascii="Arial" w:cs="Arial" w:eastAsia="Arial" w:hAnsi="Arial"/>
                <w:sz w:val="12"/>
                <w:szCs w:val="12"/>
                <w:b w:val="1"/>
                <w:bCs w:val="1"/>
                <w:color w:val="auto"/>
              </w:rPr>
              <w:t>Group Term</w:t>
            </w:r>
          </w:p>
        </w:tc>
        <w:tc>
          <w:tcPr>
            <w:tcW w:w="1180" w:type="dxa"/>
            <w:vAlign w:val="bottom"/>
          </w:tcPr>
          <w:p>
            <w:pPr>
              <w:jc w:val="right"/>
              <w:ind w:right="94"/>
              <w:spacing w:after="0"/>
              <w:rPr>
                <w:sz w:val="20"/>
                <w:szCs w:val="20"/>
                <w:color w:val="auto"/>
              </w:rPr>
            </w:pPr>
            <w:r>
              <w:rPr>
                <w:rFonts w:ascii="Arial" w:cs="Arial" w:eastAsia="Arial" w:hAnsi="Arial"/>
                <w:sz w:val="12"/>
                <w:szCs w:val="12"/>
                <w:b w:val="1"/>
                <w:bCs w:val="1"/>
                <w:color w:val="auto"/>
              </w:rPr>
              <w:t>International</w:t>
            </w:r>
          </w:p>
        </w:tc>
        <w:tc>
          <w:tcPr>
            <w:tcW w:w="1400" w:type="dxa"/>
            <w:vAlign w:val="bottom"/>
          </w:tcPr>
          <w:p>
            <w:pPr>
              <w:spacing w:after="0"/>
              <w:rPr>
                <w:sz w:val="13"/>
                <w:szCs w:val="13"/>
                <w:color w:val="auto"/>
              </w:rPr>
            </w:pPr>
          </w:p>
        </w:tc>
      </w:tr>
      <w:tr>
        <w:trPr>
          <w:trHeight w:val="133"/>
        </w:trPr>
        <w:tc>
          <w:tcPr>
            <w:tcW w:w="3540" w:type="dxa"/>
            <w:vAlign w:val="bottom"/>
          </w:tcPr>
          <w:p>
            <w:pPr>
              <w:spacing w:after="0"/>
              <w:rPr>
                <w:sz w:val="11"/>
                <w:szCs w:val="11"/>
                <w:color w:val="auto"/>
              </w:rPr>
            </w:pPr>
          </w:p>
        </w:tc>
        <w:tc>
          <w:tcPr>
            <w:tcW w:w="3480" w:type="dxa"/>
            <w:vAlign w:val="bottom"/>
          </w:tcPr>
          <w:p>
            <w:pPr>
              <w:jc w:val="right"/>
              <w:ind w:right="173"/>
              <w:spacing w:after="0" w:line="133" w:lineRule="exact"/>
              <w:rPr>
                <w:sz w:val="20"/>
                <w:szCs w:val="20"/>
                <w:color w:val="auto"/>
              </w:rPr>
            </w:pPr>
            <w:r>
              <w:rPr>
                <w:rFonts w:ascii="Arial" w:cs="Arial" w:eastAsia="Arial" w:hAnsi="Arial"/>
                <w:sz w:val="12"/>
                <w:szCs w:val="12"/>
                <w:b w:val="1"/>
                <w:bCs w:val="1"/>
                <w:color w:val="auto"/>
              </w:rPr>
              <w:t>Under Defined</w:t>
            </w:r>
          </w:p>
        </w:tc>
        <w:tc>
          <w:tcPr>
            <w:tcW w:w="1320" w:type="dxa"/>
            <w:vAlign w:val="bottom"/>
          </w:tcPr>
          <w:p>
            <w:pPr>
              <w:jc w:val="right"/>
              <w:ind w:right="193"/>
              <w:spacing w:after="0" w:line="133" w:lineRule="exact"/>
              <w:rPr>
                <w:sz w:val="20"/>
                <w:szCs w:val="20"/>
                <w:color w:val="auto"/>
              </w:rPr>
            </w:pPr>
            <w:r>
              <w:rPr>
                <w:rFonts w:ascii="Arial" w:cs="Arial" w:eastAsia="Arial" w:hAnsi="Arial"/>
                <w:sz w:val="12"/>
                <w:szCs w:val="12"/>
                <w:b w:val="1"/>
                <w:bCs w:val="1"/>
                <w:color w:val="auto"/>
              </w:rPr>
              <w:t>Life Insurance</w:t>
            </w:r>
          </w:p>
        </w:tc>
        <w:tc>
          <w:tcPr>
            <w:tcW w:w="1180" w:type="dxa"/>
            <w:vAlign w:val="bottom"/>
          </w:tcPr>
          <w:p>
            <w:pPr>
              <w:jc w:val="right"/>
              <w:ind w:right="94"/>
              <w:spacing w:after="0" w:line="133" w:lineRule="exact"/>
              <w:rPr>
                <w:sz w:val="20"/>
                <w:szCs w:val="20"/>
                <w:color w:val="auto"/>
              </w:rPr>
            </w:pPr>
            <w:r>
              <w:rPr>
                <w:rFonts w:ascii="Arial" w:cs="Arial" w:eastAsia="Arial" w:hAnsi="Arial"/>
                <w:sz w:val="12"/>
                <w:szCs w:val="12"/>
                <w:b w:val="1"/>
                <w:bCs w:val="1"/>
                <w:color w:val="auto"/>
              </w:rPr>
              <w:t>Assignments</w:t>
            </w:r>
          </w:p>
        </w:tc>
        <w:tc>
          <w:tcPr>
            <w:tcW w:w="140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Perquisites or</w:t>
            </w:r>
          </w:p>
        </w:tc>
      </w:tr>
      <w:tr>
        <w:trPr>
          <w:trHeight w:val="140"/>
        </w:trPr>
        <w:tc>
          <w:tcPr>
            <w:tcW w:w="3540" w:type="dxa"/>
            <w:vAlign w:val="bottom"/>
          </w:tcPr>
          <w:p>
            <w:pPr>
              <w:spacing w:after="0"/>
              <w:rPr>
                <w:sz w:val="12"/>
                <w:szCs w:val="12"/>
                <w:color w:val="auto"/>
              </w:rPr>
            </w:pPr>
          </w:p>
        </w:tc>
        <w:tc>
          <w:tcPr>
            <w:tcW w:w="3480" w:type="dxa"/>
            <w:vAlign w:val="bottom"/>
          </w:tcPr>
          <w:p>
            <w:pPr>
              <w:jc w:val="right"/>
              <w:ind w:right="173"/>
              <w:spacing w:after="0"/>
              <w:rPr>
                <w:sz w:val="20"/>
                <w:szCs w:val="20"/>
                <w:color w:val="auto"/>
              </w:rPr>
            </w:pPr>
            <w:r>
              <w:rPr>
                <w:rFonts w:ascii="Arial" w:cs="Arial" w:eastAsia="Arial" w:hAnsi="Arial"/>
                <w:sz w:val="12"/>
                <w:szCs w:val="12"/>
                <w:b w:val="1"/>
                <w:bCs w:val="1"/>
                <w:color w:val="auto"/>
              </w:rPr>
              <w:t>Contribution Plans</w:t>
            </w:r>
          </w:p>
        </w:tc>
        <w:tc>
          <w:tcPr>
            <w:tcW w:w="1320" w:type="dxa"/>
            <w:vAlign w:val="bottom"/>
          </w:tcPr>
          <w:p>
            <w:pPr>
              <w:jc w:val="right"/>
              <w:ind w:right="193"/>
              <w:spacing w:after="0"/>
              <w:rPr>
                <w:sz w:val="20"/>
                <w:szCs w:val="20"/>
                <w:color w:val="auto"/>
              </w:rPr>
            </w:pPr>
            <w:r>
              <w:rPr>
                <w:rFonts w:ascii="Arial" w:cs="Arial" w:eastAsia="Arial" w:hAnsi="Arial"/>
                <w:sz w:val="12"/>
                <w:szCs w:val="12"/>
                <w:b w:val="1"/>
                <w:bCs w:val="1"/>
                <w:color w:val="auto"/>
              </w:rPr>
              <w:t>Premiums</w:t>
            </w:r>
          </w:p>
        </w:tc>
        <w:tc>
          <w:tcPr>
            <w:tcW w:w="1180" w:type="dxa"/>
            <w:vAlign w:val="bottom"/>
          </w:tcPr>
          <w:p>
            <w:pPr>
              <w:jc w:val="right"/>
              <w:ind w:right="94"/>
              <w:spacing w:after="0" w:line="140" w:lineRule="exact"/>
              <w:rPr>
                <w:sz w:val="20"/>
                <w:szCs w:val="20"/>
                <w:color w:val="auto"/>
              </w:rPr>
            </w:pPr>
            <w:r>
              <w:rPr>
                <w:rFonts w:ascii="Arial" w:cs="Arial" w:eastAsia="Arial" w:hAnsi="Arial"/>
                <w:sz w:val="10"/>
                <w:szCs w:val="10"/>
                <w:b w:val="1"/>
                <w:bCs w:val="1"/>
                <w:color w:val="auto"/>
              </w:rPr>
              <w:t>Policy</w:t>
            </w:r>
            <w:r>
              <w:rPr>
                <w:rFonts w:ascii="Arial" w:cs="Arial" w:eastAsia="Arial" w:hAnsi="Arial"/>
                <w:sz w:val="16"/>
                <w:szCs w:val="16"/>
                <w:b w:val="1"/>
                <w:bCs w:val="1"/>
                <w:color w:val="auto"/>
                <w:vertAlign w:val="superscript"/>
              </w:rPr>
              <w:t>(i)</w:t>
            </w:r>
          </w:p>
        </w:tc>
        <w:tc>
          <w:tcPr>
            <w:tcW w:w="1400" w:type="dxa"/>
            <w:vAlign w:val="bottom"/>
          </w:tcPr>
          <w:p>
            <w:pPr>
              <w:jc w:val="right"/>
              <w:spacing w:after="0" w:line="140" w:lineRule="exact"/>
              <w:rPr>
                <w:sz w:val="20"/>
                <w:szCs w:val="20"/>
                <w:color w:val="auto"/>
              </w:rPr>
            </w:pPr>
            <w:r>
              <w:rPr>
                <w:rFonts w:ascii="Arial" w:cs="Arial" w:eastAsia="Arial" w:hAnsi="Arial"/>
                <w:sz w:val="10"/>
                <w:szCs w:val="10"/>
                <w:b w:val="1"/>
                <w:bCs w:val="1"/>
                <w:color w:val="auto"/>
              </w:rPr>
              <w:t>Personal Benefits</w:t>
            </w:r>
            <w:r>
              <w:rPr>
                <w:rFonts w:ascii="Arial" w:cs="Arial" w:eastAsia="Arial" w:hAnsi="Arial"/>
                <w:sz w:val="16"/>
                <w:szCs w:val="16"/>
                <w:b w:val="1"/>
                <w:bCs w:val="1"/>
                <w:color w:val="auto"/>
                <w:vertAlign w:val="superscript"/>
              </w:rPr>
              <w:t>(ii)</w:t>
            </w:r>
          </w:p>
        </w:tc>
      </w:tr>
      <w:tr>
        <w:trPr>
          <w:trHeight w:val="186"/>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Officer</w:t>
            </w:r>
          </w:p>
        </w:tc>
        <w:tc>
          <w:tcPr>
            <w:tcW w:w="3480" w:type="dxa"/>
            <w:vAlign w:val="bottom"/>
            <w:tcBorders>
              <w:bottom w:val="single" w:sz="8" w:color="auto"/>
            </w:tcBorders>
          </w:tcPr>
          <w:p>
            <w:pPr>
              <w:jc w:val="right"/>
              <w:ind w:right="173"/>
              <w:spacing w:after="0"/>
              <w:rPr>
                <w:sz w:val="20"/>
                <w:szCs w:val="20"/>
                <w:color w:val="auto"/>
              </w:rPr>
            </w:pPr>
            <w:r>
              <w:rPr>
                <w:rFonts w:ascii="Arial" w:cs="Arial" w:eastAsia="Arial" w:hAnsi="Arial"/>
                <w:sz w:val="12"/>
                <w:szCs w:val="12"/>
                <w:b w:val="1"/>
                <w:bCs w:val="1"/>
                <w:color w:val="auto"/>
              </w:rPr>
              <w:t>($)</w:t>
            </w:r>
          </w:p>
        </w:tc>
        <w:tc>
          <w:tcPr>
            <w:tcW w:w="1320" w:type="dxa"/>
            <w:vAlign w:val="bottom"/>
            <w:tcBorders>
              <w:bottom w:val="single" w:sz="8" w:color="auto"/>
            </w:tcBorders>
          </w:tcPr>
          <w:p>
            <w:pPr>
              <w:jc w:val="right"/>
              <w:ind w:right="193"/>
              <w:spacing w:after="0"/>
              <w:rPr>
                <w:sz w:val="20"/>
                <w:szCs w:val="20"/>
                <w:color w:val="auto"/>
              </w:rPr>
            </w:pPr>
            <w:r>
              <w:rPr>
                <w:rFonts w:ascii="Arial" w:cs="Arial" w:eastAsia="Arial" w:hAnsi="Arial"/>
                <w:sz w:val="12"/>
                <w:szCs w:val="12"/>
                <w:b w:val="1"/>
                <w:bCs w:val="1"/>
                <w:color w:val="auto"/>
              </w:rPr>
              <w:t>($)</w:t>
            </w:r>
          </w:p>
        </w:tc>
        <w:tc>
          <w:tcPr>
            <w:tcW w:w="1180" w:type="dxa"/>
            <w:vAlign w:val="bottom"/>
            <w:tcBorders>
              <w:bottom w:val="single" w:sz="8" w:color="auto"/>
            </w:tcBorders>
          </w:tcPr>
          <w:p>
            <w:pPr>
              <w:jc w:val="right"/>
              <w:ind w:right="94"/>
              <w:spacing w:after="0"/>
              <w:rPr>
                <w:sz w:val="20"/>
                <w:szCs w:val="20"/>
                <w:color w:val="auto"/>
              </w:rPr>
            </w:pPr>
            <w:r>
              <w:rPr>
                <w:rFonts w:ascii="Arial" w:cs="Arial" w:eastAsia="Arial" w:hAnsi="Arial"/>
                <w:sz w:val="12"/>
                <w:szCs w:val="12"/>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r>
      <w:tr>
        <w:trPr>
          <w:trHeight w:val="207"/>
        </w:trPr>
        <w:tc>
          <w:tcPr>
            <w:tcW w:w="3540" w:type="dxa"/>
            <w:vAlign w:val="bottom"/>
            <w:tcBorders>
              <w:bottom w:val="single" w:sz="8" w:color="949599"/>
            </w:tcBorders>
          </w:tcPr>
          <w:p>
            <w:pPr>
              <w:ind w:left="40"/>
              <w:spacing w:after="0"/>
              <w:rPr>
                <w:sz w:val="20"/>
                <w:szCs w:val="20"/>
                <w:color w:val="auto"/>
              </w:rPr>
            </w:pPr>
            <w:r>
              <w:rPr>
                <w:rFonts w:ascii="Arial" w:cs="Arial" w:eastAsia="Arial" w:hAnsi="Arial"/>
                <w:sz w:val="14"/>
                <w:szCs w:val="14"/>
                <w:b w:val="1"/>
                <w:bCs w:val="1"/>
                <w:color w:val="009A4B"/>
              </w:rPr>
              <w:t>Seifi Ghasemi</w:t>
            </w:r>
          </w:p>
        </w:tc>
        <w:tc>
          <w:tcPr>
            <w:tcW w:w="3480" w:type="dxa"/>
            <w:vAlign w:val="bottom"/>
            <w:tcBorders>
              <w:bottom w:val="single" w:sz="8" w:color="949599"/>
            </w:tcBorders>
          </w:tcPr>
          <w:p>
            <w:pPr>
              <w:jc w:val="right"/>
              <w:ind w:right="173"/>
              <w:spacing w:after="0"/>
              <w:rPr>
                <w:sz w:val="20"/>
                <w:szCs w:val="20"/>
                <w:color w:val="auto"/>
              </w:rPr>
            </w:pPr>
            <w:r>
              <w:rPr>
                <w:rFonts w:ascii="Arial" w:cs="Arial" w:eastAsia="Arial" w:hAnsi="Arial"/>
                <w:sz w:val="14"/>
                <w:szCs w:val="14"/>
                <w:color w:val="auto"/>
              </w:rPr>
              <w:t>191,255</w:t>
            </w:r>
          </w:p>
        </w:tc>
        <w:tc>
          <w:tcPr>
            <w:tcW w:w="1320" w:type="dxa"/>
            <w:vAlign w:val="bottom"/>
            <w:tcBorders>
              <w:bottom w:val="single" w:sz="8" w:color="949599"/>
            </w:tcBorders>
          </w:tcPr>
          <w:p>
            <w:pPr>
              <w:jc w:val="right"/>
              <w:ind w:right="193"/>
              <w:spacing w:after="0"/>
              <w:rPr>
                <w:sz w:val="20"/>
                <w:szCs w:val="20"/>
                <w:color w:val="auto"/>
              </w:rPr>
            </w:pPr>
            <w:r>
              <w:rPr>
                <w:rFonts w:ascii="Arial" w:cs="Arial" w:eastAsia="Arial" w:hAnsi="Arial"/>
                <w:sz w:val="14"/>
                <w:szCs w:val="14"/>
                <w:color w:val="auto"/>
              </w:rPr>
              <w:t>1,006</w:t>
            </w:r>
          </w:p>
        </w:tc>
        <w:tc>
          <w:tcPr>
            <w:tcW w:w="1180" w:type="dxa"/>
            <w:vAlign w:val="bottom"/>
            <w:tcBorders>
              <w:bottom w:val="single" w:sz="8" w:color="949599"/>
            </w:tcBorders>
          </w:tcPr>
          <w:p>
            <w:pPr>
              <w:jc w:val="right"/>
              <w:ind w:right="94"/>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55,126</w:t>
            </w:r>
          </w:p>
        </w:tc>
      </w:tr>
      <w:tr>
        <w:trPr>
          <w:trHeight w:val="206"/>
        </w:trPr>
        <w:tc>
          <w:tcPr>
            <w:tcW w:w="3540" w:type="dxa"/>
            <w:vAlign w:val="bottom"/>
            <w:tcBorders>
              <w:bottom w:val="single" w:sz="8" w:color="949599"/>
            </w:tcBorders>
          </w:tcPr>
          <w:p>
            <w:pPr>
              <w:ind w:left="40"/>
              <w:spacing w:after="0"/>
              <w:rPr>
                <w:sz w:val="20"/>
                <w:szCs w:val="20"/>
                <w:color w:val="auto"/>
              </w:rPr>
            </w:pPr>
            <w:r>
              <w:rPr>
                <w:rFonts w:ascii="Arial" w:cs="Arial" w:eastAsia="Arial" w:hAnsi="Arial"/>
                <w:sz w:val="14"/>
                <w:szCs w:val="14"/>
                <w:b w:val="1"/>
                <w:bCs w:val="1"/>
                <w:color w:val="009A4B"/>
              </w:rPr>
              <w:t>Melissa N. Schaeffer</w:t>
            </w:r>
          </w:p>
        </w:tc>
        <w:tc>
          <w:tcPr>
            <w:tcW w:w="3480" w:type="dxa"/>
            <w:vAlign w:val="bottom"/>
            <w:tcBorders>
              <w:bottom w:val="single" w:sz="8" w:color="949599"/>
            </w:tcBorders>
          </w:tcPr>
          <w:p>
            <w:pPr>
              <w:jc w:val="right"/>
              <w:ind w:right="173"/>
              <w:spacing w:after="0"/>
              <w:rPr>
                <w:sz w:val="20"/>
                <w:szCs w:val="20"/>
                <w:color w:val="auto"/>
              </w:rPr>
            </w:pPr>
            <w:r>
              <w:rPr>
                <w:rFonts w:ascii="Arial" w:cs="Arial" w:eastAsia="Arial" w:hAnsi="Arial"/>
                <w:sz w:val="14"/>
                <w:szCs w:val="14"/>
                <w:color w:val="auto"/>
              </w:rPr>
              <w:t>33,415</w:t>
            </w:r>
          </w:p>
        </w:tc>
        <w:tc>
          <w:tcPr>
            <w:tcW w:w="1320" w:type="dxa"/>
            <w:vAlign w:val="bottom"/>
            <w:tcBorders>
              <w:bottom w:val="single" w:sz="8" w:color="949599"/>
            </w:tcBorders>
          </w:tcPr>
          <w:p>
            <w:pPr>
              <w:jc w:val="right"/>
              <w:ind w:right="193"/>
              <w:spacing w:after="0"/>
              <w:rPr>
                <w:sz w:val="20"/>
                <w:szCs w:val="20"/>
                <w:color w:val="auto"/>
              </w:rPr>
            </w:pPr>
            <w:r>
              <w:rPr>
                <w:rFonts w:ascii="Arial" w:cs="Arial" w:eastAsia="Arial" w:hAnsi="Arial"/>
                <w:sz w:val="14"/>
                <w:szCs w:val="14"/>
                <w:color w:val="auto"/>
              </w:rPr>
              <w:t>1,548</w:t>
            </w:r>
          </w:p>
        </w:tc>
        <w:tc>
          <w:tcPr>
            <w:tcW w:w="1180" w:type="dxa"/>
            <w:vAlign w:val="bottom"/>
            <w:tcBorders>
              <w:bottom w:val="single" w:sz="8" w:color="949599"/>
            </w:tcBorders>
          </w:tcPr>
          <w:p>
            <w:pPr>
              <w:jc w:val="right"/>
              <w:ind w:right="94"/>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815</w:t>
            </w:r>
          </w:p>
        </w:tc>
      </w:tr>
      <w:tr>
        <w:trPr>
          <w:trHeight w:val="206"/>
        </w:trPr>
        <w:tc>
          <w:tcPr>
            <w:tcW w:w="3540" w:type="dxa"/>
            <w:vAlign w:val="bottom"/>
            <w:tcBorders>
              <w:bottom w:val="single" w:sz="8" w:color="949599"/>
            </w:tcBorders>
          </w:tcPr>
          <w:p>
            <w:pPr>
              <w:ind w:left="40"/>
              <w:spacing w:after="0"/>
              <w:rPr>
                <w:sz w:val="20"/>
                <w:szCs w:val="20"/>
                <w:color w:val="auto"/>
              </w:rPr>
            </w:pPr>
            <w:r>
              <w:rPr>
                <w:rFonts w:ascii="Arial" w:cs="Arial" w:eastAsia="Arial" w:hAnsi="Arial"/>
                <w:sz w:val="14"/>
                <w:szCs w:val="14"/>
                <w:b w:val="1"/>
                <w:bCs w:val="1"/>
                <w:color w:val="009A4B"/>
              </w:rPr>
              <w:t>M. Scott Crocco</w:t>
            </w:r>
          </w:p>
        </w:tc>
        <w:tc>
          <w:tcPr>
            <w:tcW w:w="3480" w:type="dxa"/>
            <w:vAlign w:val="bottom"/>
            <w:tcBorders>
              <w:bottom w:val="single" w:sz="8" w:color="949599"/>
            </w:tcBorders>
          </w:tcPr>
          <w:p>
            <w:pPr>
              <w:jc w:val="right"/>
              <w:ind w:right="173"/>
              <w:spacing w:after="0"/>
              <w:rPr>
                <w:sz w:val="20"/>
                <w:szCs w:val="20"/>
                <w:color w:val="auto"/>
              </w:rPr>
            </w:pPr>
            <w:r>
              <w:rPr>
                <w:rFonts w:ascii="Arial" w:cs="Arial" w:eastAsia="Arial" w:hAnsi="Arial"/>
                <w:sz w:val="14"/>
                <w:szCs w:val="14"/>
                <w:color w:val="auto"/>
              </w:rPr>
              <w:t>8,550</w:t>
            </w:r>
          </w:p>
        </w:tc>
        <w:tc>
          <w:tcPr>
            <w:tcW w:w="1320" w:type="dxa"/>
            <w:vAlign w:val="bottom"/>
            <w:tcBorders>
              <w:bottom w:val="single" w:sz="8" w:color="949599"/>
            </w:tcBorders>
          </w:tcPr>
          <w:p>
            <w:pPr>
              <w:jc w:val="right"/>
              <w:ind w:right="193"/>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949599"/>
            </w:tcBorders>
          </w:tcPr>
          <w:p>
            <w:pPr>
              <w:jc w:val="right"/>
              <w:ind w:right="94"/>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500</w:t>
            </w:r>
          </w:p>
        </w:tc>
      </w:tr>
      <w:tr>
        <w:trPr>
          <w:trHeight w:val="206"/>
        </w:trPr>
        <w:tc>
          <w:tcPr>
            <w:tcW w:w="3540" w:type="dxa"/>
            <w:vAlign w:val="bottom"/>
            <w:tcBorders>
              <w:bottom w:val="single" w:sz="8" w:color="949599"/>
            </w:tcBorders>
          </w:tcPr>
          <w:p>
            <w:pPr>
              <w:ind w:left="40"/>
              <w:spacing w:after="0"/>
              <w:rPr>
                <w:sz w:val="20"/>
                <w:szCs w:val="20"/>
                <w:color w:val="auto"/>
              </w:rPr>
            </w:pPr>
            <w:r>
              <w:rPr>
                <w:rFonts w:ascii="Arial" w:cs="Arial" w:eastAsia="Arial" w:hAnsi="Arial"/>
                <w:sz w:val="14"/>
                <w:szCs w:val="14"/>
                <w:b w:val="1"/>
                <w:bCs w:val="1"/>
                <w:color w:val="009A4B"/>
              </w:rPr>
              <w:t>Sean D. Major</w:t>
            </w:r>
          </w:p>
        </w:tc>
        <w:tc>
          <w:tcPr>
            <w:tcW w:w="3480" w:type="dxa"/>
            <w:vAlign w:val="bottom"/>
            <w:tcBorders>
              <w:bottom w:val="single" w:sz="8" w:color="949599"/>
            </w:tcBorders>
          </w:tcPr>
          <w:p>
            <w:pPr>
              <w:jc w:val="right"/>
              <w:ind w:right="173"/>
              <w:spacing w:after="0"/>
              <w:rPr>
                <w:sz w:val="20"/>
                <w:szCs w:val="20"/>
                <w:color w:val="auto"/>
              </w:rPr>
            </w:pPr>
            <w:r>
              <w:rPr>
                <w:rFonts w:ascii="Arial" w:cs="Arial" w:eastAsia="Arial" w:hAnsi="Arial"/>
                <w:sz w:val="14"/>
                <w:szCs w:val="14"/>
                <w:color w:val="auto"/>
              </w:rPr>
              <w:t>62,670</w:t>
            </w:r>
          </w:p>
        </w:tc>
        <w:tc>
          <w:tcPr>
            <w:tcW w:w="1320" w:type="dxa"/>
            <w:vAlign w:val="bottom"/>
            <w:tcBorders>
              <w:bottom w:val="single" w:sz="8" w:color="949599"/>
            </w:tcBorders>
          </w:tcPr>
          <w:p>
            <w:pPr>
              <w:jc w:val="right"/>
              <w:ind w:right="193"/>
              <w:spacing w:after="0"/>
              <w:rPr>
                <w:sz w:val="20"/>
                <w:szCs w:val="20"/>
                <w:color w:val="auto"/>
              </w:rPr>
            </w:pPr>
            <w:r>
              <w:rPr>
                <w:rFonts w:ascii="Arial" w:cs="Arial" w:eastAsia="Arial" w:hAnsi="Arial"/>
                <w:sz w:val="14"/>
                <w:szCs w:val="14"/>
                <w:color w:val="auto"/>
              </w:rPr>
              <w:t>1,548</w:t>
            </w:r>
          </w:p>
        </w:tc>
        <w:tc>
          <w:tcPr>
            <w:tcW w:w="1180" w:type="dxa"/>
            <w:vAlign w:val="bottom"/>
            <w:tcBorders>
              <w:bottom w:val="single" w:sz="8" w:color="949599"/>
            </w:tcBorders>
          </w:tcPr>
          <w:p>
            <w:pPr>
              <w:jc w:val="right"/>
              <w:ind w:right="94"/>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500</w:t>
            </w:r>
          </w:p>
        </w:tc>
      </w:tr>
      <w:tr>
        <w:trPr>
          <w:trHeight w:val="219"/>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009A4B"/>
              </w:rPr>
              <w:t>Samir J. Serhan</w:t>
            </w:r>
          </w:p>
        </w:tc>
        <w:tc>
          <w:tcPr>
            <w:tcW w:w="34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73,730</w:t>
            </w:r>
          </w:p>
        </w:tc>
        <w:tc>
          <w:tcPr>
            <w:tcW w:w="13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1,548</w:t>
            </w:r>
          </w:p>
        </w:tc>
        <w:tc>
          <w:tcPr>
            <w:tcW w:w="11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232,237</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w:t>
            </w:r>
          </w:p>
        </w:tc>
      </w:tr>
    </w:tbl>
    <w:p>
      <w:pPr>
        <w:spacing w:after="0" w:line="71" w:lineRule="exact"/>
        <w:rPr>
          <w:sz w:val="20"/>
          <w:szCs w:val="20"/>
          <w:color w:val="auto"/>
        </w:rPr>
      </w:pPr>
    </w:p>
    <w:p>
      <w:pPr>
        <w:ind w:left="780" w:right="200" w:hanging="324"/>
        <w:spacing w:after="0" w:line="205" w:lineRule="auto"/>
        <w:tabs>
          <w:tab w:leader="none" w:pos="780" w:val="left"/>
        </w:tabs>
        <w:numPr>
          <w:ilvl w:val="0"/>
          <w:numId w:val="53"/>
        </w:numPr>
        <w:rPr>
          <w:rFonts w:ascii="Arial" w:cs="Arial" w:eastAsia="Arial" w:hAnsi="Arial"/>
          <w:sz w:val="24"/>
          <w:szCs w:val="24"/>
          <w:color w:val="auto"/>
          <w:vertAlign w:val="superscript"/>
        </w:rPr>
      </w:pPr>
      <w:r>
        <w:rPr>
          <w:rFonts w:ascii="Arial" w:cs="Arial" w:eastAsia="Arial" w:hAnsi="Arial"/>
          <w:sz w:val="14"/>
          <w:szCs w:val="14"/>
          <w:color w:val="auto"/>
        </w:rPr>
        <w:t>Dr. Serhan was on an international business assignment during fiscal 2019, 2020 and 2021 in support of our operations and business development initiatives worldwide. In connection with this assignment, the Company’s standard International Assignment Policy provides reimbursement of expenses over and above those Dr. Serhan would have incurred if he had remained solely in the United States. For 2021 this amount includes a housing allowance of $131,163, a car lease of $10,768 and other miscellaneous items of $90,306.</w:t>
      </w:r>
    </w:p>
    <w:p>
      <w:pPr>
        <w:spacing w:after="0" w:line="97" w:lineRule="exact"/>
        <w:rPr>
          <w:rFonts w:ascii="Arial" w:cs="Arial" w:eastAsia="Arial" w:hAnsi="Arial"/>
          <w:sz w:val="24"/>
          <w:szCs w:val="24"/>
          <w:color w:val="auto"/>
          <w:vertAlign w:val="superscript"/>
        </w:rPr>
      </w:pPr>
    </w:p>
    <w:p>
      <w:pPr>
        <w:ind w:left="780" w:right="160" w:hanging="324"/>
        <w:spacing w:after="0" w:line="226" w:lineRule="auto"/>
        <w:tabs>
          <w:tab w:leader="none" w:pos="780" w:val="left"/>
        </w:tabs>
        <w:numPr>
          <w:ilvl w:val="0"/>
          <w:numId w:val="53"/>
        </w:numPr>
        <w:rPr>
          <w:rFonts w:ascii="Arial" w:cs="Arial" w:eastAsia="Arial" w:hAnsi="Arial"/>
          <w:sz w:val="24"/>
          <w:szCs w:val="24"/>
          <w:color w:val="auto"/>
          <w:vertAlign w:val="superscript"/>
        </w:rPr>
      </w:pPr>
      <w:r>
        <w:rPr>
          <w:rFonts w:ascii="Arial" w:cs="Arial" w:eastAsia="Arial" w:hAnsi="Arial"/>
          <w:sz w:val="14"/>
          <w:szCs w:val="14"/>
          <w:color w:val="auto"/>
        </w:rPr>
        <w:t>The amount reported in this column for Mr. Ghasemi reflects the incremental cost to the Company of providing Mr. Ghasemi a car and driver for occasional personal use of $1,748, including for occasional use by his spouse, and of providing Mr. Ghasemi personal use of corporate aircraft of $52,878. These benefits were provided to allow Mr. Ghasemi to focus on Company business and to mitigate security concerns. The incremental cost for the car and driver was calculated using the IRS mileage rate based on the variable costs of operating a vehicle. The variable cost rate is used rather than the standard business rate as the Company uses the car and driver for Company business, including to transport other passengers when not being used by Mr. Ghasemi, and would incur the fixed costs of operating the vehicle and employing the driver whether or not Mr. Ghasemi was provided the car and driver for commuting. In addition to the mileage rate, which includes trips to and from Mr. Ghasemi’s residence with no passengers, the amount calculated for use of the car and driver includes toll and overtime compensation and reimbursement for meals and lodging provided to the driver in connection with Mr. Ghasemi’s use. Mr. Ghasemi pays all taxes associated with personal use of the car and driver. The incremental cost of corporate aircraft is calculated using an hourly rate for each flight hour for variable operating costs (fuel and maintenance) plus flight-specific costs, such as parking and landing fees and crew expenses. The valuation also includes these costs with respect to flights with no passengers that are associated with personal travel. Fixed costs such as pilot compensation and lease payments are not included as aircraft are primarily used for business purposes, and the Company would incur these costs regardless of Mr. Ghasemi’s personal use. Guests traveled on certain of the flights reflected. Mr. Ghasemi pays all taxes associated with his personal use of corporate aircraft.</w:t>
      </w:r>
    </w:p>
    <w:p>
      <w:pPr>
        <w:ind w:left="780" w:hanging="324"/>
        <w:spacing w:after="0" w:line="238" w:lineRule="auto"/>
        <w:tabs>
          <w:tab w:leader="none" w:pos="780" w:val="left"/>
        </w:tabs>
        <w:numPr>
          <w:ilvl w:val="0"/>
          <w:numId w:val="54"/>
        </w:numPr>
        <w:rPr>
          <w:rFonts w:ascii="Arial" w:cs="Arial" w:eastAsia="Arial" w:hAnsi="Arial"/>
          <w:sz w:val="24"/>
          <w:szCs w:val="24"/>
          <w:color w:val="auto"/>
          <w:vertAlign w:val="superscript"/>
        </w:rPr>
      </w:pPr>
      <w:r>
        <w:rPr>
          <w:rFonts w:ascii="Arial" w:cs="Arial" w:eastAsia="Arial" w:hAnsi="Arial"/>
          <w:sz w:val="14"/>
          <w:szCs w:val="14"/>
          <w:color w:val="auto"/>
        </w:rPr>
        <w:t>Ms. Schaeffer was appointed as CFO effective August 10, 2021.</w:t>
      </w:r>
    </w:p>
    <w:p>
      <w:pPr>
        <w:spacing w:after="0" w:line="96" w:lineRule="exact"/>
        <w:rPr>
          <w:rFonts w:ascii="Arial" w:cs="Arial" w:eastAsia="Arial" w:hAnsi="Arial"/>
          <w:sz w:val="24"/>
          <w:szCs w:val="24"/>
          <w:color w:val="auto"/>
          <w:vertAlign w:val="superscript"/>
        </w:rPr>
      </w:pPr>
    </w:p>
    <w:p>
      <w:pPr>
        <w:ind w:left="780" w:hanging="324"/>
        <w:spacing w:after="0" w:line="187" w:lineRule="auto"/>
        <w:tabs>
          <w:tab w:leader="none" w:pos="780" w:val="left"/>
        </w:tabs>
        <w:numPr>
          <w:ilvl w:val="0"/>
          <w:numId w:val="54"/>
        </w:numPr>
        <w:rPr>
          <w:rFonts w:ascii="Arial" w:cs="Arial" w:eastAsia="Arial" w:hAnsi="Arial"/>
          <w:sz w:val="19"/>
          <w:szCs w:val="19"/>
          <w:color w:val="auto"/>
          <w:vertAlign w:val="superscript"/>
        </w:rPr>
      </w:pPr>
      <w:r>
        <w:rPr>
          <w:rFonts w:ascii="Arial" w:cs="Arial" w:eastAsia="Arial" w:hAnsi="Arial"/>
          <w:sz w:val="12"/>
          <w:szCs w:val="12"/>
          <w:color w:val="auto"/>
        </w:rPr>
        <w:t>Mr. Crocco retired from the Company effective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184785</wp:posOffset>
            </wp:positionV>
            <wp:extent cx="845185" cy="202565"/>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845185" cy="20256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7155180" cy="20955"/>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28"/>
          <w:szCs w:val="28"/>
          <w:color w:val="009A4B"/>
        </w:rPr>
        <w:t>Fiscal 2021 Grants of Plan-Based Awards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225" cy="17145"/>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Arial" w:cs="Arial" w:eastAsia="Arial" w:hAnsi="Arial"/>
                <w:sz w:val="14"/>
                <w:szCs w:val="14"/>
                <w:b w:val="1"/>
                <w:bCs w:val="1"/>
                <w:color w:val="auto"/>
              </w:rPr>
              <w:t>All Other</w:t>
            </w:r>
          </w:p>
        </w:tc>
        <w:tc>
          <w:tcPr>
            <w:tcW w:w="940" w:type="dxa"/>
            <w:vAlign w:val="bottom"/>
          </w:tcPr>
          <w:p>
            <w:pPr>
              <w:jc w:val="right"/>
              <w:ind w:right="29"/>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60"/>
        </w:trPr>
        <w:tc>
          <w:tcPr>
            <w:tcW w:w="1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89"/>
              <w:spacing w:after="0" w:line="160" w:lineRule="exact"/>
              <w:rPr>
                <w:sz w:val="20"/>
                <w:szCs w:val="20"/>
                <w:color w:val="auto"/>
              </w:rPr>
            </w:pPr>
            <w:r>
              <w:rPr>
                <w:rFonts w:ascii="Arial" w:cs="Arial" w:eastAsia="Arial" w:hAnsi="Arial"/>
                <w:sz w:val="14"/>
                <w:szCs w:val="14"/>
                <w:b w:val="1"/>
                <w:bCs w:val="1"/>
                <w:color w:val="auto"/>
              </w:rPr>
              <w:t>Stock</w:t>
            </w:r>
          </w:p>
        </w:tc>
        <w:tc>
          <w:tcPr>
            <w:tcW w:w="940" w:type="dxa"/>
            <w:vAlign w:val="bottom"/>
          </w:tcPr>
          <w:p>
            <w:pPr>
              <w:jc w:val="right"/>
              <w:ind w:right="29"/>
              <w:spacing w:after="0" w:line="160"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60"/>
        </w:trPr>
        <w:tc>
          <w:tcPr>
            <w:tcW w:w="1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34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rPr>
              <w:t>Estimated Future Payouts</w:t>
            </w:r>
          </w:p>
        </w:tc>
        <w:tc>
          <w:tcPr>
            <w:tcW w:w="238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rPr>
              <w:t>Estimated Future Payouts</w:t>
            </w:r>
          </w:p>
        </w:tc>
        <w:tc>
          <w:tcPr>
            <w:tcW w:w="1020" w:type="dxa"/>
            <w:vAlign w:val="bottom"/>
          </w:tcPr>
          <w:p>
            <w:pPr>
              <w:jc w:val="right"/>
              <w:ind w:right="89"/>
              <w:spacing w:after="0" w:line="160" w:lineRule="exact"/>
              <w:rPr>
                <w:sz w:val="20"/>
                <w:szCs w:val="20"/>
                <w:color w:val="auto"/>
              </w:rPr>
            </w:pPr>
            <w:r>
              <w:rPr>
                <w:rFonts w:ascii="Arial" w:cs="Arial" w:eastAsia="Arial" w:hAnsi="Arial"/>
                <w:sz w:val="14"/>
                <w:szCs w:val="14"/>
                <w:b w:val="1"/>
                <w:bCs w:val="1"/>
                <w:color w:val="auto"/>
              </w:rPr>
              <w:t>Awards:</w:t>
            </w:r>
          </w:p>
        </w:tc>
        <w:tc>
          <w:tcPr>
            <w:tcW w:w="940" w:type="dxa"/>
            <w:vAlign w:val="bottom"/>
          </w:tcPr>
          <w:p>
            <w:pPr>
              <w:jc w:val="right"/>
              <w:ind w:right="29"/>
              <w:spacing w:after="0" w:line="160" w:lineRule="exact"/>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46"/>
        </w:trPr>
        <w:tc>
          <w:tcPr>
            <w:tcW w:w="1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340" w:type="dxa"/>
            <w:vAlign w:val="bottom"/>
            <w:gridSpan w:val="4"/>
            <w:vMerge w:val="continue"/>
          </w:tcPr>
          <w:p>
            <w:pPr>
              <w:spacing w:after="0"/>
              <w:rPr>
                <w:sz w:val="12"/>
                <w:szCs w:val="12"/>
                <w:color w:val="auto"/>
              </w:rPr>
            </w:pPr>
          </w:p>
        </w:tc>
        <w:tc>
          <w:tcPr>
            <w:tcW w:w="2380" w:type="dxa"/>
            <w:vAlign w:val="bottom"/>
            <w:gridSpan w:val="4"/>
            <w:vMerge w:val="continue"/>
          </w:tcPr>
          <w:p>
            <w:pPr>
              <w:spacing w:after="0"/>
              <w:rPr>
                <w:sz w:val="12"/>
                <w:szCs w:val="12"/>
                <w:color w:val="auto"/>
              </w:rPr>
            </w:pPr>
          </w:p>
        </w:tc>
        <w:tc>
          <w:tcPr>
            <w:tcW w:w="1020" w:type="dxa"/>
            <w:vAlign w:val="bottom"/>
          </w:tcPr>
          <w:p>
            <w:pPr>
              <w:jc w:val="right"/>
              <w:ind w:right="89"/>
              <w:spacing w:after="0" w:line="147" w:lineRule="exact"/>
              <w:rPr>
                <w:sz w:val="20"/>
                <w:szCs w:val="20"/>
                <w:color w:val="auto"/>
              </w:rPr>
            </w:pPr>
            <w:r>
              <w:rPr>
                <w:rFonts w:ascii="Arial" w:cs="Arial" w:eastAsia="Arial" w:hAnsi="Arial"/>
                <w:sz w:val="14"/>
                <w:szCs w:val="14"/>
                <w:b w:val="1"/>
                <w:bCs w:val="1"/>
                <w:color w:val="auto"/>
              </w:rPr>
              <w:t>Number of</w:t>
            </w:r>
          </w:p>
        </w:tc>
        <w:tc>
          <w:tcPr>
            <w:tcW w:w="940" w:type="dxa"/>
            <w:vAlign w:val="bottom"/>
          </w:tcPr>
          <w:p>
            <w:pPr>
              <w:jc w:val="right"/>
              <w:ind w:right="29"/>
              <w:spacing w:after="0" w:line="147" w:lineRule="exact"/>
              <w:rPr>
                <w:sz w:val="20"/>
                <w:szCs w:val="20"/>
                <w:color w:val="auto"/>
              </w:rPr>
            </w:pPr>
            <w:r>
              <w:rPr>
                <w:rFonts w:ascii="Arial" w:cs="Arial" w:eastAsia="Arial" w:hAnsi="Arial"/>
                <w:sz w:val="14"/>
                <w:szCs w:val="14"/>
                <w:b w:val="1"/>
                <w:bCs w:val="1"/>
                <w:color w:val="auto"/>
              </w:rPr>
              <w:t>Stock and</w:t>
            </w:r>
          </w:p>
        </w:tc>
        <w:tc>
          <w:tcPr>
            <w:tcW w:w="0" w:type="dxa"/>
            <w:vAlign w:val="bottom"/>
          </w:tcPr>
          <w:p>
            <w:pPr>
              <w:spacing w:after="0"/>
              <w:rPr>
                <w:sz w:val="1"/>
                <w:szCs w:val="1"/>
                <w:color w:val="auto"/>
              </w:rPr>
            </w:pPr>
          </w:p>
        </w:tc>
      </w:tr>
      <w:tr>
        <w:trPr>
          <w:trHeight w:val="160"/>
        </w:trPr>
        <w:tc>
          <w:tcPr>
            <w:tcW w:w="1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340" w:type="dxa"/>
            <w:vAlign w:val="bottom"/>
            <w:gridSpan w:val="4"/>
          </w:tcPr>
          <w:p>
            <w:pPr>
              <w:jc w:val="center"/>
              <w:ind w:right="120"/>
              <w:spacing w:after="0" w:line="160" w:lineRule="exact"/>
              <w:rPr>
                <w:sz w:val="20"/>
                <w:szCs w:val="20"/>
                <w:color w:val="auto"/>
              </w:rPr>
            </w:pPr>
            <w:r>
              <w:rPr>
                <w:rFonts w:ascii="Arial" w:cs="Arial" w:eastAsia="Arial" w:hAnsi="Arial"/>
                <w:sz w:val="14"/>
                <w:szCs w:val="14"/>
                <w:b w:val="1"/>
                <w:bCs w:val="1"/>
                <w:color w:val="auto"/>
              </w:rPr>
              <w:t>Under Non-Equity Incentive</w:t>
            </w:r>
          </w:p>
        </w:tc>
        <w:tc>
          <w:tcPr>
            <w:tcW w:w="2380" w:type="dxa"/>
            <w:vAlign w:val="bottom"/>
            <w:gridSpan w:val="4"/>
          </w:tcPr>
          <w:p>
            <w:pPr>
              <w:jc w:val="center"/>
              <w:ind w:right="140"/>
              <w:spacing w:after="0" w:line="160" w:lineRule="exact"/>
              <w:rPr>
                <w:sz w:val="20"/>
                <w:szCs w:val="20"/>
                <w:color w:val="auto"/>
              </w:rPr>
            </w:pPr>
            <w:r>
              <w:rPr>
                <w:rFonts w:ascii="Arial" w:cs="Arial" w:eastAsia="Arial" w:hAnsi="Arial"/>
                <w:sz w:val="14"/>
                <w:szCs w:val="14"/>
                <w:b w:val="1"/>
                <w:bCs w:val="1"/>
                <w:color w:val="auto"/>
              </w:rPr>
              <w:t>Under Equity Incentive</w:t>
            </w:r>
          </w:p>
        </w:tc>
        <w:tc>
          <w:tcPr>
            <w:tcW w:w="1020" w:type="dxa"/>
            <w:vAlign w:val="bottom"/>
          </w:tcPr>
          <w:p>
            <w:pPr>
              <w:jc w:val="right"/>
              <w:ind w:right="89"/>
              <w:spacing w:after="0" w:line="160" w:lineRule="exact"/>
              <w:rPr>
                <w:sz w:val="20"/>
                <w:szCs w:val="20"/>
                <w:color w:val="auto"/>
              </w:rPr>
            </w:pPr>
            <w:r>
              <w:rPr>
                <w:rFonts w:ascii="Arial" w:cs="Arial" w:eastAsia="Arial" w:hAnsi="Arial"/>
                <w:sz w:val="14"/>
                <w:szCs w:val="14"/>
                <w:b w:val="1"/>
                <w:bCs w:val="1"/>
                <w:color w:val="auto"/>
              </w:rPr>
              <w:t>Shares of</w:t>
            </w:r>
          </w:p>
        </w:tc>
        <w:tc>
          <w:tcPr>
            <w:tcW w:w="940" w:type="dxa"/>
            <w:vAlign w:val="bottom"/>
          </w:tcPr>
          <w:p>
            <w:pPr>
              <w:jc w:val="right"/>
              <w:ind w:right="29"/>
              <w:spacing w:after="0" w:line="160" w:lineRule="exact"/>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93"/>
        </w:trPr>
        <w:tc>
          <w:tcPr>
            <w:tcW w:w="18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Officer</w:t>
            </w:r>
          </w:p>
        </w:tc>
        <w:tc>
          <w:tcPr>
            <w:tcW w:w="1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Plan Awards ($)</w:t>
            </w:r>
          </w:p>
        </w:tc>
        <w:tc>
          <w:tcPr>
            <w:tcW w:w="100" w:type="dxa"/>
            <w:vAlign w:val="bottom"/>
          </w:tcPr>
          <w:p>
            <w:pPr>
              <w:spacing w:after="0"/>
              <w:rPr>
                <w:sz w:val="16"/>
                <w:szCs w:val="16"/>
                <w:color w:val="auto"/>
              </w:rPr>
            </w:pPr>
          </w:p>
        </w:tc>
        <w:tc>
          <w:tcPr>
            <w:tcW w:w="1720" w:type="dxa"/>
            <w:vAlign w:val="bottom"/>
            <w:tcBorders>
              <w:bottom w:val="single" w:sz="8" w:color="auto"/>
            </w:tcBorders>
            <w:gridSpan w:val="2"/>
          </w:tcPr>
          <w:p>
            <w:pPr>
              <w:jc w:val="center"/>
              <w:ind w:left="449"/>
              <w:spacing w:after="0"/>
              <w:rPr>
                <w:sz w:val="20"/>
                <w:szCs w:val="20"/>
                <w:color w:val="auto"/>
              </w:rPr>
            </w:pPr>
            <w:r>
              <w:rPr>
                <w:rFonts w:ascii="Arial" w:cs="Arial" w:eastAsia="Arial" w:hAnsi="Arial"/>
                <w:sz w:val="14"/>
                <w:szCs w:val="14"/>
                <w:b w:val="1"/>
                <w:bCs w:val="1"/>
                <w:color w:val="auto"/>
              </w:rPr>
              <w:t>Plan Awards (#)</w:t>
            </w:r>
          </w:p>
        </w:tc>
        <w:tc>
          <w:tcPr>
            <w:tcW w:w="5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89"/>
              <w:spacing w:after="0"/>
              <w:rPr>
                <w:sz w:val="20"/>
                <w:szCs w:val="20"/>
                <w:color w:val="auto"/>
              </w:rPr>
            </w:pPr>
            <w:r>
              <w:rPr>
                <w:rFonts w:ascii="Arial" w:cs="Arial" w:eastAsia="Arial" w:hAnsi="Arial"/>
                <w:sz w:val="14"/>
                <w:szCs w:val="14"/>
                <w:b w:val="1"/>
                <w:bCs w:val="1"/>
                <w:color w:val="auto"/>
              </w:rPr>
              <w:t>Stock or</w:t>
            </w:r>
          </w:p>
        </w:tc>
        <w:tc>
          <w:tcPr>
            <w:tcW w:w="940" w:type="dxa"/>
            <w:vAlign w:val="bottom"/>
          </w:tcPr>
          <w:p>
            <w:pPr>
              <w:jc w:val="right"/>
              <w:ind w:right="29"/>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206"/>
        </w:trPr>
        <w:tc>
          <w:tcPr>
            <w:tcW w:w="1820" w:type="dxa"/>
            <w:vAlign w:val="bottom"/>
            <w:tcBorders>
              <w:bottom w:val="single" w:sz="8" w:color="auto"/>
            </w:tcBorders>
            <w:vMerge w:val="continue"/>
          </w:tcPr>
          <w:p>
            <w:pPr>
              <w:spacing w:after="0"/>
              <w:rPr>
                <w:sz w:val="17"/>
                <w:szCs w:val="17"/>
                <w:color w:val="auto"/>
              </w:rPr>
            </w:pPr>
          </w:p>
        </w:tc>
        <w:tc>
          <w:tcPr>
            <w:tcW w:w="164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Award Type</w:t>
            </w:r>
          </w:p>
        </w:tc>
        <w:tc>
          <w:tcPr>
            <w:tcW w:w="11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Grant Date</w:t>
            </w:r>
          </w:p>
        </w:tc>
        <w:tc>
          <w:tcPr>
            <w:tcW w:w="76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rPr>
              <w:t>Threshold</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Target</w:t>
            </w:r>
          </w:p>
        </w:tc>
        <w:tc>
          <w:tcPr>
            <w:tcW w:w="8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Maximum</w:t>
            </w:r>
          </w:p>
        </w:tc>
        <w:tc>
          <w:tcPr>
            <w:tcW w:w="86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rPr>
              <w:t>Threshold</w:t>
            </w:r>
          </w:p>
        </w:tc>
        <w:tc>
          <w:tcPr>
            <w:tcW w:w="15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Target  Maximum</w:t>
            </w:r>
          </w:p>
        </w:tc>
        <w:tc>
          <w:tcPr>
            <w:tcW w:w="10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Units (#)</w:t>
            </w: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7"/>
        </w:trPr>
        <w:tc>
          <w:tcPr>
            <w:tcW w:w="1820" w:type="dxa"/>
            <w:vAlign w:val="bottom"/>
          </w:tcPr>
          <w:p>
            <w:pPr>
              <w:ind w:left="80"/>
              <w:spacing w:after="0"/>
              <w:rPr>
                <w:sz w:val="20"/>
                <w:szCs w:val="20"/>
                <w:color w:val="auto"/>
              </w:rPr>
            </w:pPr>
            <w:r>
              <w:rPr>
                <w:rFonts w:ascii="Arial" w:cs="Arial" w:eastAsia="Arial" w:hAnsi="Arial"/>
                <w:sz w:val="14"/>
                <w:szCs w:val="14"/>
                <w:b w:val="1"/>
                <w:bCs w:val="1"/>
                <w:color w:val="009A4B"/>
              </w:rPr>
              <w:t>Seifi Ghasemi</w:t>
            </w:r>
          </w:p>
        </w:tc>
        <w:tc>
          <w:tcPr>
            <w:tcW w:w="1640" w:type="dxa"/>
            <w:vAlign w:val="bottom"/>
            <w:tcBorders>
              <w:bottom w:val="single" w:sz="8" w:color="949599"/>
            </w:tcBorders>
          </w:tcPr>
          <w:p>
            <w:pPr>
              <w:spacing w:after="0"/>
              <w:rPr>
                <w:sz w:val="20"/>
                <w:szCs w:val="20"/>
                <w:color w:val="auto"/>
              </w:rPr>
            </w:pPr>
            <w:r>
              <w:rPr>
                <w:rFonts w:ascii="Arial" w:cs="Arial" w:eastAsia="Arial" w:hAnsi="Arial"/>
                <w:sz w:val="14"/>
                <w:szCs w:val="14"/>
                <w:color w:val="auto"/>
              </w:rPr>
              <w:t>Annual Incentive Plan</w:t>
            </w:r>
          </w:p>
        </w:tc>
        <w:tc>
          <w:tcPr>
            <w:tcW w:w="1100" w:type="dxa"/>
            <w:vAlign w:val="bottom"/>
            <w:tcBorders>
              <w:bottom w:val="single" w:sz="8" w:color="949599"/>
            </w:tcBorders>
          </w:tcPr>
          <w:p>
            <w:pPr>
              <w:spacing w:after="0"/>
              <w:rPr>
                <w:sz w:val="18"/>
                <w:szCs w:val="18"/>
                <w:color w:val="auto"/>
              </w:rPr>
            </w:pPr>
          </w:p>
        </w:tc>
        <w:tc>
          <w:tcPr>
            <w:tcW w:w="760" w:type="dxa"/>
            <w:vAlign w:val="bottom"/>
            <w:tcBorders>
              <w:bottom w:val="single" w:sz="8" w:color="949599"/>
            </w:tcBorders>
          </w:tcPr>
          <w:p>
            <w:pPr>
              <w:jc w:val="center"/>
              <w:ind w:right="9"/>
              <w:spacing w:after="0"/>
              <w:rPr>
                <w:sz w:val="20"/>
                <w:szCs w:val="20"/>
                <w:color w:val="auto"/>
              </w:rPr>
            </w:pPr>
            <w:r>
              <w:rPr>
                <w:rFonts w:ascii="Arial" w:cs="Arial" w:eastAsia="Arial" w:hAnsi="Arial"/>
                <w:sz w:val="14"/>
                <w:szCs w:val="14"/>
                <w:color w:val="auto"/>
              </w:rPr>
              <w:t>0</w:t>
            </w:r>
          </w:p>
        </w:tc>
        <w:tc>
          <w:tcPr>
            <w:tcW w:w="76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2,025,000</w:t>
            </w:r>
          </w:p>
        </w:tc>
        <w:tc>
          <w:tcPr>
            <w:tcW w:w="72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4,000,000</w:t>
            </w:r>
          </w:p>
        </w:tc>
        <w:tc>
          <w:tcPr>
            <w:tcW w:w="100" w:type="dxa"/>
            <w:vAlign w:val="bottom"/>
            <w:tcBorders>
              <w:bottom w:val="single" w:sz="8" w:color="949599"/>
            </w:tcBorders>
          </w:tcPr>
          <w:p>
            <w:pPr>
              <w:spacing w:after="0"/>
              <w:rPr>
                <w:sz w:val="18"/>
                <w:szCs w:val="18"/>
                <w:color w:val="auto"/>
              </w:rPr>
            </w:pPr>
          </w:p>
        </w:tc>
        <w:tc>
          <w:tcPr>
            <w:tcW w:w="860" w:type="dxa"/>
            <w:vAlign w:val="bottom"/>
            <w:tcBorders>
              <w:bottom w:val="single" w:sz="8" w:color="949599"/>
            </w:tcBorders>
          </w:tcPr>
          <w:p>
            <w:pPr>
              <w:spacing w:after="0"/>
              <w:rPr>
                <w:sz w:val="18"/>
                <w:szCs w:val="18"/>
                <w:color w:val="auto"/>
              </w:rPr>
            </w:pPr>
          </w:p>
        </w:tc>
        <w:tc>
          <w:tcPr>
            <w:tcW w:w="860" w:type="dxa"/>
            <w:vAlign w:val="bottom"/>
            <w:tcBorders>
              <w:bottom w:val="single" w:sz="8" w:color="949599"/>
            </w:tcBorders>
          </w:tcPr>
          <w:p>
            <w:pPr>
              <w:spacing w:after="0"/>
              <w:rPr>
                <w:sz w:val="18"/>
                <w:szCs w:val="18"/>
                <w:color w:val="auto"/>
              </w:rPr>
            </w:pPr>
          </w:p>
        </w:tc>
        <w:tc>
          <w:tcPr>
            <w:tcW w:w="520" w:type="dxa"/>
            <w:vAlign w:val="bottom"/>
            <w:tcBorders>
              <w:bottom w:val="single" w:sz="8" w:color="949599"/>
            </w:tcBorders>
          </w:tcPr>
          <w:p>
            <w:pPr>
              <w:spacing w:after="0"/>
              <w:rPr>
                <w:sz w:val="18"/>
                <w:szCs w:val="18"/>
                <w:color w:val="auto"/>
              </w:rPr>
            </w:pPr>
          </w:p>
        </w:tc>
        <w:tc>
          <w:tcPr>
            <w:tcW w:w="140" w:type="dxa"/>
            <w:vAlign w:val="bottom"/>
            <w:tcBorders>
              <w:bottom w:val="single" w:sz="8" w:color="949599"/>
            </w:tcBorders>
          </w:tcPr>
          <w:p>
            <w:pPr>
              <w:spacing w:after="0"/>
              <w:rPr>
                <w:sz w:val="18"/>
                <w:szCs w:val="18"/>
                <w:color w:val="auto"/>
              </w:rPr>
            </w:pPr>
          </w:p>
        </w:tc>
        <w:tc>
          <w:tcPr>
            <w:tcW w:w="1020" w:type="dxa"/>
            <w:vAlign w:val="bottom"/>
            <w:tcBorders>
              <w:bottom w:val="single" w:sz="8" w:color="949599"/>
            </w:tcBorders>
          </w:tcPr>
          <w:p>
            <w:pPr>
              <w:spacing w:after="0"/>
              <w:rPr>
                <w:sz w:val="18"/>
                <w:szCs w:val="18"/>
                <w:color w:val="auto"/>
              </w:rPr>
            </w:pPr>
          </w:p>
        </w:tc>
        <w:tc>
          <w:tcPr>
            <w:tcW w:w="940" w:type="dxa"/>
            <w:vAlign w:val="bottom"/>
            <w:tcBorders>
              <w:bottom w:val="single" w:sz="8" w:color="949599"/>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820" w:type="dxa"/>
            <w:vAlign w:val="bottom"/>
          </w:tcPr>
          <w:p>
            <w:pPr>
              <w:spacing w:after="0"/>
              <w:rPr>
                <w:sz w:val="17"/>
                <w:szCs w:val="17"/>
                <w:color w:val="auto"/>
              </w:rPr>
            </w:pPr>
          </w:p>
        </w:tc>
        <w:tc>
          <w:tcPr>
            <w:tcW w:w="1640" w:type="dxa"/>
            <w:vAlign w:val="bottom"/>
            <w:tcBorders>
              <w:bottom w:val="single" w:sz="8" w:color="949599"/>
            </w:tcBorders>
          </w:tcPr>
          <w:p>
            <w:pPr>
              <w:spacing w:after="0"/>
              <w:rPr>
                <w:sz w:val="20"/>
                <w:szCs w:val="20"/>
                <w:color w:val="auto"/>
              </w:rPr>
            </w:pPr>
            <w:r>
              <w:rPr>
                <w:rFonts w:ascii="Arial" w:cs="Arial" w:eastAsia="Arial" w:hAnsi="Arial"/>
                <w:sz w:val="14"/>
                <w:szCs w:val="14"/>
                <w:color w:val="auto"/>
              </w:rPr>
              <w:t>Performance Shares</w:t>
            </w:r>
          </w:p>
        </w:tc>
        <w:tc>
          <w:tcPr>
            <w:tcW w:w="1100" w:type="dxa"/>
            <w:vAlign w:val="bottom"/>
            <w:tcBorders>
              <w:bottom w:val="single" w:sz="8" w:color="949599"/>
            </w:tcBorders>
          </w:tcPr>
          <w:p>
            <w:pPr>
              <w:jc w:val="right"/>
              <w:ind w:right="29"/>
              <w:spacing w:after="0"/>
              <w:rPr>
                <w:sz w:val="20"/>
                <w:szCs w:val="20"/>
                <w:color w:val="auto"/>
              </w:rPr>
            </w:pPr>
            <w:r>
              <w:rPr>
                <w:rFonts w:ascii="Arial" w:cs="Arial" w:eastAsia="Arial" w:hAnsi="Arial"/>
                <w:sz w:val="14"/>
                <w:szCs w:val="14"/>
                <w:color w:val="auto"/>
              </w:rPr>
              <w:t>12/1/2020</w:t>
            </w:r>
          </w:p>
        </w:tc>
        <w:tc>
          <w:tcPr>
            <w:tcW w:w="760" w:type="dxa"/>
            <w:vAlign w:val="bottom"/>
            <w:tcBorders>
              <w:bottom w:val="single" w:sz="8" w:color="949599"/>
            </w:tcBorders>
          </w:tcPr>
          <w:p>
            <w:pPr>
              <w:spacing w:after="0"/>
              <w:rPr>
                <w:sz w:val="17"/>
                <w:szCs w:val="17"/>
                <w:color w:val="auto"/>
              </w:rPr>
            </w:pPr>
          </w:p>
        </w:tc>
        <w:tc>
          <w:tcPr>
            <w:tcW w:w="760" w:type="dxa"/>
            <w:vAlign w:val="bottom"/>
            <w:tcBorders>
              <w:bottom w:val="single" w:sz="8" w:color="949599"/>
            </w:tcBorders>
          </w:tcPr>
          <w:p>
            <w:pPr>
              <w:spacing w:after="0"/>
              <w:rPr>
                <w:sz w:val="17"/>
                <w:szCs w:val="17"/>
                <w:color w:val="auto"/>
              </w:rPr>
            </w:pPr>
          </w:p>
        </w:tc>
        <w:tc>
          <w:tcPr>
            <w:tcW w:w="720" w:type="dxa"/>
            <w:vAlign w:val="bottom"/>
            <w:tcBorders>
              <w:bottom w:val="single" w:sz="8" w:color="949599"/>
            </w:tcBorders>
          </w:tcPr>
          <w:p>
            <w:pPr>
              <w:spacing w:after="0"/>
              <w:rPr>
                <w:sz w:val="17"/>
                <w:szCs w:val="17"/>
                <w:color w:val="auto"/>
              </w:rPr>
            </w:pPr>
          </w:p>
        </w:tc>
        <w:tc>
          <w:tcPr>
            <w:tcW w:w="100" w:type="dxa"/>
            <w:vAlign w:val="bottom"/>
            <w:tcBorders>
              <w:bottom w:val="single" w:sz="8" w:color="949599"/>
            </w:tcBorders>
          </w:tcPr>
          <w:p>
            <w:pPr>
              <w:spacing w:after="0"/>
              <w:rPr>
                <w:sz w:val="17"/>
                <w:szCs w:val="17"/>
                <w:color w:val="auto"/>
              </w:rPr>
            </w:pPr>
          </w:p>
        </w:tc>
        <w:tc>
          <w:tcPr>
            <w:tcW w:w="860" w:type="dxa"/>
            <w:vAlign w:val="bottom"/>
            <w:tcBorders>
              <w:bottom w:val="single" w:sz="8" w:color="949599"/>
            </w:tcBorders>
          </w:tcPr>
          <w:p>
            <w:pPr>
              <w:jc w:val="center"/>
              <w:ind w:right="109"/>
              <w:spacing w:after="0"/>
              <w:rPr>
                <w:sz w:val="20"/>
                <w:szCs w:val="20"/>
                <w:color w:val="auto"/>
              </w:rPr>
            </w:pPr>
            <w:r>
              <w:rPr>
                <w:rFonts w:ascii="Arial" w:cs="Arial" w:eastAsia="Arial" w:hAnsi="Arial"/>
                <w:sz w:val="14"/>
                <w:szCs w:val="14"/>
                <w:color w:val="auto"/>
              </w:rPr>
              <w:t>0</w:t>
            </w:r>
          </w:p>
        </w:tc>
        <w:tc>
          <w:tcPr>
            <w:tcW w:w="860" w:type="dxa"/>
            <w:vAlign w:val="bottom"/>
            <w:tcBorders>
              <w:bottom w:val="single" w:sz="8" w:color="949599"/>
            </w:tcBorders>
          </w:tcPr>
          <w:p>
            <w:pPr>
              <w:jc w:val="right"/>
              <w:ind w:right="189"/>
              <w:spacing w:after="0"/>
              <w:rPr>
                <w:sz w:val="20"/>
                <w:szCs w:val="20"/>
                <w:color w:val="auto"/>
              </w:rPr>
            </w:pPr>
            <w:r>
              <w:rPr>
                <w:rFonts w:ascii="Arial" w:cs="Arial" w:eastAsia="Arial" w:hAnsi="Arial"/>
                <w:sz w:val="14"/>
                <w:szCs w:val="14"/>
                <w:color w:val="auto"/>
              </w:rPr>
              <w:t>24,117</w:t>
            </w:r>
          </w:p>
        </w:tc>
        <w:tc>
          <w:tcPr>
            <w:tcW w:w="660" w:type="dxa"/>
            <w:vAlign w:val="bottom"/>
            <w:tcBorders>
              <w:bottom w:val="single" w:sz="8" w:color="949599"/>
            </w:tcBorders>
            <w:gridSpan w:val="2"/>
          </w:tcPr>
          <w:p>
            <w:pPr>
              <w:jc w:val="right"/>
              <w:ind w:right="140"/>
              <w:spacing w:after="0"/>
              <w:rPr>
                <w:sz w:val="20"/>
                <w:szCs w:val="20"/>
                <w:color w:val="auto"/>
              </w:rPr>
            </w:pPr>
            <w:r>
              <w:rPr>
                <w:rFonts w:ascii="Arial" w:cs="Arial" w:eastAsia="Arial" w:hAnsi="Arial"/>
                <w:sz w:val="14"/>
                <w:szCs w:val="14"/>
                <w:color w:val="auto"/>
              </w:rPr>
              <w:t>51,852</w:t>
            </w:r>
          </w:p>
        </w:tc>
        <w:tc>
          <w:tcPr>
            <w:tcW w:w="1020" w:type="dxa"/>
            <w:vAlign w:val="bottom"/>
            <w:tcBorders>
              <w:bottom w:val="single" w:sz="8" w:color="949599"/>
            </w:tcBorders>
          </w:tcPr>
          <w:p>
            <w:pPr>
              <w:spacing w:after="0"/>
              <w:rPr>
                <w:sz w:val="17"/>
                <w:szCs w:val="17"/>
                <w:color w:val="auto"/>
              </w:rPr>
            </w:pPr>
          </w:p>
        </w:tc>
        <w:tc>
          <w:tcPr>
            <w:tcW w:w="940" w:type="dxa"/>
            <w:vAlign w:val="bottom"/>
            <w:tcBorders>
              <w:bottom w:val="single" w:sz="8" w:color="949599"/>
            </w:tcBorders>
          </w:tcPr>
          <w:p>
            <w:pPr>
              <w:jc w:val="right"/>
              <w:ind w:right="29"/>
              <w:spacing w:after="0"/>
              <w:rPr>
                <w:sz w:val="20"/>
                <w:szCs w:val="20"/>
                <w:color w:val="auto"/>
              </w:rPr>
            </w:pPr>
            <w:r>
              <w:rPr>
                <w:rFonts w:ascii="Arial" w:cs="Arial" w:eastAsia="Arial" w:hAnsi="Arial"/>
                <w:sz w:val="14"/>
                <w:szCs w:val="14"/>
                <w:color w:val="auto"/>
              </w:rPr>
              <w:t>5,679,071</w:t>
            </w:r>
          </w:p>
        </w:tc>
        <w:tc>
          <w:tcPr>
            <w:tcW w:w="0" w:type="dxa"/>
            <w:vAlign w:val="bottom"/>
          </w:tcPr>
          <w:p>
            <w:pPr>
              <w:spacing w:after="0"/>
              <w:rPr>
                <w:sz w:val="1"/>
                <w:szCs w:val="1"/>
                <w:color w:val="auto"/>
              </w:rPr>
            </w:pPr>
          </w:p>
        </w:tc>
      </w:tr>
      <w:tr>
        <w:trPr>
          <w:trHeight w:val="206"/>
        </w:trPr>
        <w:tc>
          <w:tcPr>
            <w:tcW w:w="1820" w:type="dxa"/>
            <w:vAlign w:val="bottom"/>
            <w:tcBorders>
              <w:bottom w:val="single" w:sz="8" w:color="949599"/>
            </w:tcBorders>
          </w:tcPr>
          <w:p>
            <w:pPr>
              <w:spacing w:after="0"/>
              <w:rPr>
                <w:sz w:val="17"/>
                <w:szCs w:val="17"/>
                <w:color w:val="auto"/>
              </w:rPr>
            </w:pPr>
          </w:p>
        </w:tc>
        <w:tc>
          <w:tcPr>
            <w:tcW w:w="1640" w:type="dxa"/>
            <w:vAlign w:val="bottom"/>
            <w:tcBorders>
              <w:bottom w:val="single" w:sz="8" w:color="949599"/>
            </w:tcBorders>
          </w:tcPr>
          <w:p>
            <w:pPr>
              <w:spacing w:after="0"/>
              <w:rPr>
                <w:sz w:val="20"/>
                <w:szCs w:val="20"/>
                <w:color w:val="auto"/>
              </w:rPr>
            </w:pPr>
            <w:r>
              <w:rPr>
                <w:rFonts w:ascii="Arial" w:cs="Arial" w:eastAsia="Arial" w:hAnsi="Arial"/>
                <w:sz w:val="14"/>
                <w:szCs w:val="14"/>
                <w:color w:val="auto"/>
              </w:rPr>
              <w:t>Restricted Stock Units</w:t>
            </w:r>
          </w:p>
        </w:tc>
        <w:tc>
          <w:tcPr>
            <w:tcW w:w="1100" w:type="dxa"/>
            <w:vAlign w:val="bottom"/>
            <w:tcBorders>
              <w:bottom w:val="single" w:sz="8" w:color="949599"/>
            </w:tcBorders>
          </w:tcPr>
          <w:p>
            <w:pPr>
              <w:jc w:val="right"/>
              <w:ind w:right="29"/>
              <w:spacing w:after="0"/>
              <w:rPr>
                <w:sz w:val="20"/>
                <w:szCs w:val="20"/>
                <w:color w:val="auto"/>
              </w:rPr>
            </w:pPr>
            <w:r>
              <w:rPr>
                <w:rFonts w:ascii="Arial" w:cs="Arial" w:eastAsia="Arial" w:hAnsi="Arial"/>
                <w:sz w:val="14"/>
                <w:szCs w:val="14"/>
                <w:color w:val="auto"/>
              </w:rPr>
              <w:t>12/1/2020</w:t>
            </w:r>
          </w:p>
        </w:tc>
        <w:tc>
          <w:tcPr>
            <w:tcW w:w="760" w:type="dxa"/>
            <w:vAlign w:val="bottom"/>
            <w:tcBorders>
              <w:bottom w:val="single" w:sz="8" w:color="949599"/>
            </w:tcBorders>
          </w:tcPr>
          <w:p>
            <w:pPr>
              <w:spacing w:after="0"/>
              <w:rPr>
                <w:sz w:val="17"/>
                <w:szCs w:val="17"/>
                <w:color w:val="auto"/>
              </w:rPr>
            </w:pPr>
          </w:p>
        </w:tc>
        <w:tc>
          <w:tcPr>
            <w:tcW w:w="760" w:type="dxa"/>
            <w:vAlign w:val="bottom"/>
            <w:tcBorders>
              <w:bottom w:val="single" w:sz="8" w:color="949599"/>
            </w:tcBorders>
          </w:tcPr>
          <w:p>
            <w:pPr>
              <w:spacing w:after="0"/>
              <w:rPr>
                <w:sz w:val="17"/>
                <w:szCs w:val="17"/>
                <w:color w:val="auto"/>
              </w:rPr>
            </w:pPr>
          </w:p>
        </w:tc>
        <w:tc>
          <w:tcPr>
            <w:tcW w:w="720" w:type="dxa"/>
            <w:vAlign w:val="bottom"/>
            <w:tcBorders>
              <w:bottom w:val="single" w:sz="8" w:color="949599"/>
            </w:tcBorders>
          </w:tcPr>
          <w:p>
            <w:pPr>
              <w:spacing w:after="0"/>
              <w:rPr>
                <w:sz w:val="17"/>
                <w:szCs w:val="17"/>
                <w:color w:val="auto"/>
              </w:rPr>
            </w:pPr>
          </w:p>
        </w:tc>
        <w:tc>
          <w:tcPr>
            <w:tcW w:w="100" w:type="dxa"/>
            <w:vAlign w:val="bottom"/>
            <w:tcBorders>
              <w:bottom w:val="single" w:sz="8" w:color="949599"/>
            </w:tcBorders>
          </w:tcPr>
          <w:p>
            <w:pPr>
              <w:spacing w:after="0"/>
              <w:rPr>
                <w:sz w:val="17"/>
                <w:szCs w:val="17"/>
                <w:color w:val="auto"/>
              </w:rPr>
            </w:pPr>
          </w:p>
        </w:tc>
        <w:tc>
          <w:tcPr>
            <w:tcW w:w="860" w:type="dxa"/>
            <w:vAlign w:val="bottom"/>
            <w:tcBorders>
              <w:bottom w:val="single" w:sz="8" w:color="949599"/>
            </w:tcBorders>
          </w:tcPr>
          <w:p>
            <w:pPr>
              <w:spacing w:after="0"/>
              <w:rPr>
                <w:sz w:val="17"/>
                <w:szCs w:val="17"/>
                <w:color w:val="auto"/>
              </w:rPr>
            </w:pPr>
          </w:p>
        </w:tc>
        <w:tc>
          <w:tcPr>
            <w:tcW w:w="860" w:type="dxa"/>
            <w:vAlign w:val="bottom"/>
            <w:tcBorders>
              <w:bottom w:val="single" w:sz="8" w:color="949599"/>
            </w:tcBorders>
          </w:tcPr>
          <w:p>
            <w:pPr>
              <w:spacing w:after="0"/>
              <w:rPr>
                <w:sz w:val="17"/>
                <w:szCs w:val="17"/>
                <w:color w:val="auto"/>
              </w:rPr>
            </w:pPr>
          </w:p>
        </w:tc>
        <w:tc>
          <w:tcPr>
            <w:tcW w:w="520" w:type="dxa"/>
            <w:vAlign w:val="bottom"/>
            <w:tcBorders>
              <w:bottom w:val="single" w:sz="8" w:color="949599"/>
            </w:tcBorders>
          </w:tcPr>
          <w:p>
            <w:pPr>
              <w:spacing w:after="0"/>
              <w:rPr>
                <w:sz w:val="17"/>
                <w:szCs w:val="17"/>
                <w:color w:val="auto"/>
              </w:rPr>
            </w:pPr>
          </w:p>
        </w:tc>
        <w:tc>
          <w:tcPr>
            <w:tcW w:w="140" w:type="dxa"/>
            <w:vAlign w:val="bottom"/>
            <w:tcBorders>
              <w:bottom w:val="single" w:sz="8" w:color="949599"/>
            </w:tcBorders>
          </w:tcPr>
          <w:p>
            <w:pPr>
              <w:spacing w:after="0"/>
              <w:rPr>
                <w:sz w:val="17"/>
                <w:szCs w:val="17"/>
                <w:color w:val="auto"/>
              </w:rPr>
            </w:pPr>
          </w:p>
        </w:tc>
        <w:tc>
          <w:tcPr>
            <w:tcW w:w="1020" w:type="dxa"/>
            <w:vAlign w:val="bottom"/>
            <w:tcBorders>
              <w:bottom w:val="single" w:sz="8" w:color="949599"/>
            </w:tcBorders>
          </w:tcPr>
          <w:p>
            <w:pPr>
              <w:jc w:val="right"/>
              <w:ind w:right="89"/>
              <w:spacing w:after="0"/>
              <w:rPr>
                <w:sz w:val="20"/>
                <w:szCs w:val="20"/>
                <w:color w:val="auto"/>
              </w:rPr>
            </w:pPr>
            <w:r>
              <w:rPr>
                <w:rFonts w:ascii="Arial" w:cs="Arial" w:eastAsia="Arial" w:hAnsi="Arial"/>
                <w:sz w:val="14"/>
                <w:szCs w:val="14"/>
                <w:color w:val="auto"/>
              </w:rPr>
              <w:t>16,078</w:t>
            </w:r>
          </w:p>
        </w:tc>
        <w:tc>
          <w:tcPr>
            <w:tcW w:w="940" w:type="dxa"/>
            <w:vAlign w:val="bottom"/>
            <w:tcBorders>
              <w:bottom w:val="single" w:sz="8" w:color="949599"/>
            </w:tcBorders>
          </w:tcPr>
          <w:p>
            <w:pPr>
              <w:jc w:val="right"/>
              <w:ind w:right="29"/>
              <w:spacing w:after="0"/>
              <w:rPr>
                <w:sz w:val="20"/>
                <w:szCs w:val="20"/>
                <w:color w:val="auto"/>
              </w:rPr>
            </w:pPr>
            <w:r>
              <w:rPr>
                <w:rFonts w:ascii="Arial" w:cs="Arial" w:eastAsia="Arial" w:hAnsi="Arial"/>
                <w:sz w:val="14"/>
                <w:szCs w:val="14"/>
                <w:color w:val="auto"/>
              </w:rPr>
              <w:t>4,552,968</w:t>
            </w:r>
          </w:p>
        </w:tc>
        <w:tc>
          <w:tcPr>
            <w:tcW w:w="0" w:type="dxa"/>
            <w:vAlign w:val="bottom"/>
          </w:tcPr>
          <w:p>
            <w:pPr>
              <w:spacing w:after="0"/>
              <w:rPr>
                <w:sz w:val="1"/>
                <w:szCs w:val="1"/>
                <w:color w:val="auto"/>
              </w:rPr>
            </w:pPr>
          </w:p>
        </w:tc>
      </w:tr>
      <w:tr>
        <w:trPr>
          <w:trHeight w:val="212"/>
        </w:trPr>
        <w:tc>
          <w:tcPr>
            <w:tcW w:w="1820" w:type="dxa"/>
            <w:vAlign w:val="bottom"/>
          </w:tcPr>
          <w:p>
            <w:pPr>
              <w:ind w:left="80"/>
              <w:spacing w:after="0" w:line="212" w:lineRule="exact"/>
              <w:rPr>
                <w:sz w:val="20"/>
                <w:szCs w:val="20"/>
                <w:color w:val="auto"/>
              </w:rPr>
            </w:pPr>
            <w:r>
              <w:rPr>
                <w:rFonts w:ascii="Arial" w:cs="Arial" w:eastAsia="Arial" w:hAnsi="Arial"/>
                <w:sz w:val="14"/>
                <w:szCs w:val="14"/>
                <w:b w:val="1"/>
                <w:bCs w:val="1"/>
                <w:color w:val="009A4B"/>
              </w:rPr>
              <w:t>Melissa N.Schaeffer</w:t>
            </w:r>
            <w:r>
              <w:rPr>
                <w:rFonts w:ascii="Arial" w:cs="Arial" w:eastAsia="Arial" w:hAnsi="Arial"/>
                <w:sz w:val="23"/>
                <w:szCs w:val="23"/>
                <w:b w:val="1"/>
                <w:bCs w:val="1"/>
                <w:color w:val="009A4B"/>
                <w:vertAlign w:val="superscript"/>
              </w:rPr>
              <w:t>(1)</w:t>
            </w:r>
          </w:p>
        </w:tc>
        <w:tc>
          <w:tcPr>
            <w:tcW w:w="1640" w:type="dxa"/>
            <w:vAlign w:val="bottom"/>
            <w:tcBorders>
              <w:bottom w:val="single" w:sz="8" w:color="949599"/>
            </w:tcBorders>
          </w:tcPr>
          <w:p>
            <w:pPr>
              <w:spacing w:after="0"/>
              <w:rPr>
                <w:sz w:val="20"/>
                <w:szCs w:val="20"/>
                <w:color w:val="auto"/>
              </w:rPr>
            </w:pPr>
            <w:r>
              <w:rPr>
                <w:rFonts w:ascii="Arial" w:cs="Arial" w:eastAsia="Arial" w:hAnsi="Arial"/>
                <w:sz w:val="14"/>
                <w:szCs w:val="14"/>
                <w:color w:val="auto"/>
              </w:rPr>
              <w:t>Annual Incentive Plan</w:t>
            </w:r>
          </w:p>
        </w:tc>
        <w:tc>
          <w:tcPr>
            <w:tcW w:w="1100" w:type="dxa"/>
            <w:vAlign w:val="bottom"/>
            <w:tcBorders>
              <w:bottom w:val="single" w:sz="8" w:color="949599"/>
            </w:tcBorders>
          </w:tcPr>
          <w:p>
            <w:pPr>
              <w:spacing w:after="0"/>
              <w:rPr>
                <w:sz w:val="18"/>
                <w:szCs w:val="18"/>
                <w:color w:val="auto"/>
              </w:rPr>
            </w:pPr>
          </w:p>
        </w:tc>
        <w:tc>
          <w:tcPr>
            <w:tcW w:w="760" w:type="dxa"/>
            <w:vAlign w:val="bottom"/>
            <w:tcBorders>
              <w:bottom w:val="single" w:sz="8" w:color="949599"/>
            </w:tcBorders>
          </w:tcPr>
          <w:p>
            <w:pPr>
              <w:jc w:val="center"/>
              <w:ind w:right="9"/>
              <w:spacing w:after="0"/>
              <w:rPr>
                <w:sz w:val="20"/>
                <w:szCs w:val="20"/>
                <w:color w:val="auto"/>
              </w:rPr>
            </w:pPr>
            <w:r>
              <w:rPr>
                <w:rFonts w:ascii="Arial" w:cs="Arial" w:eastAsia="Arial" w:hAnsi="Arial"/>
                <w:sz w:val="14"/>
                <w:szCs w:val="14"/>
                <w:color w:val="auto"/>
              </w:rPr>
              <w:t>0</w:t>
            </w:r>
          </w:p>
        </w:tc>
        <w:tc>
          <w:tcPr>
            <w:tcW w:w="76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290,100</w:t>
            </w:r>
          </w:p>
        </w:tc>
        <w:tc>
          <w:tcPr>
            <w:tcW w:w="72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667,230</w:t>
            </w:r>
          </w:p>
        </w:tc>
        <w:tc>
          <w:tcPr>
            <w:tcW w:w="100" w:type="dxa"/>
            <w:vAlign w:val="bottom"/>
            <w:tcBorders>
              <w:bottom w:val="single" w:sz="8" w:color="949599"/>
            </w:tcBorders>
          </w:tcPr>
          <w:p>
            <w:pPr>
              <w:spacing w:after="0"/>
              <w:rPr>
                <w:sz w:val="18"/>
                <w:szCs w:val="18"/>
                <w:color w:val="auto"/>
              </w:rPr>
            </w:pPr>
          </w:p>
        </w:tc>
        <w:tc>
          <w:tcPr>
            <w:tcW w:w="860" w:type="dxa"/>
            <w:vAlign w:val="bottom"/>
            <w:tcBorders>
              <w:bottom w:val="single" w:sz="8" w:color="949599"/>
            </w:tcBorders>
          </w:tcPr>
          <w:p>
            <w:pPr>
              <w:spacing w:after="0"/>
              <w:rPr>
                <w:sz w:val="18"/>
                <w:szCs w:val="18"/>
                <w:color w:val="auto"/>
              </w:rPr>
            </w:pPr>
          </w:p>
        </w:tc>
        <w:tc>
          <w:tcPr>
            <w:tcW w:w="860" w:type="dxa"/>
            <w:vAlign w:val="bottom"/>
            <w:tcBorders>
              <w:bottom w:val="single" w:sz="8" w:color="949599"/>
            </w:tcBorders>
          </w:tcPr>
          <w:p>
            <w:pPr>
              <w:spacing w:after="0"/>
              <w:rPr>
                <w:sz w:val="18"/>
                <w:szCs w:val="18"/>
                <w:color w:val="auto"/>
              </w:rPr>
            </w:pPr>
          </w:p>
        </w:tc>
        <w:tc>
          <w:tcPr>
            <w:tcW w:w="520" w:type="dxa"/>
            <w:vAlign w:val="bottom"/>
            <w:tcBorders>
              <w:bottom w:val="single" w:sz="8" w:color="949599"/>
            </w:tcBorders>
          </w:tcPr>
          <w:p>
            <w:pPr>
              <w:spacing w:after="0"/>
              <w:rPr>
                <w:sz w:val="18"/>
                <w:szCs w:val="18"/>
                <w:color w:val="auto"/>
              </w:rPr>
            </w:pPr>
          </w:p>
        </w:tc>
        <w:tc>
          <w:tcPr>
            <w:tcW w:w="140" w:type="dxa"/>
            <w:vAlign w:val="bottom"/>
            <w:tcBorders>
              <w:bottom w:val="single" w:sz="8" w:color="949599"/>
            </w:tcBorders>
          </w:tcPr>
          <w:p>
            <w:pPr>
              <w:spacing w:after="0"/>
              <w:rPr>
                <w:sz w:val="18"/>
                <w:szCs w:val="18"/>
                <w:color w:val="auto"/>
              </w:rPr>
            </w:pPr>
          </w:p>
        </w:tc>
        <w:tc>
          <w:tcPr>
            <w:tcW w:w="1020" w:type="dxa"/>
            <w:vAlign w:val="bottom"/>
            <w:tcBorders>
              <w:bottom w:val="single" w:sz="8" w:color="949599"/>
            </w:tcBorders>
          </w:tcPr>
          <w:p>
            <w:pPr>
              <w:spacing w:after="0"/>
              <w:rPr>
                <w:sz w:val="18"/>
                <w:szCs w:val="18"/>
                <w:color w:val="auto"/>
              </w:rPr>
            </w:pPr>
          </w:p>
        </w:tc>
        <w:tc>
          <w:tcPr>
            <w:tcW w:w="940" w:type="dxa"/>
            <w:vAlign w:val="bottom"/>
            <w:tcBorders>
              <w:bottom w:val="single" w:sz="8" w:color="949599"/>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820" w:type="dxa"/>
            <w:vAlign w:val="bottom"/>
          </w:tcPr>
          <w:p>
            <w:pPr>
              <w:spacing w:after="0"/>
              <w:rPr>
                <w:sz w:val="17"/>
                <w:szCs w:val="17"/>
                <w:color w:val="auto"/>
              </w:rPr>
            </w:pPr>
          </w:p>
        </w:tc>
        <w:tc>
          <w:tcPr>
            <w:tcW w:w="1640" w:type="dxa"/>
            <w:vAlign w:val="bottom"/>
            <w:tcBorders>
              <w:bottom w:val="single" w:sz="8" w:color="949599"/>
            </w:tcBorders>
          </w:tcPr>
          <w:p>
            <w:pPr>
              <w:spacing w:after="0"/>
              <w:rPr>
                <w:sz w:val="20"/>
                <w:szCs w:val="20"/>
                <w:color w:val="auto"/>
              </w:rPr>
            </w:pPr>
            <w:r>
              <w:rPr>
                <w:rFonts w:ascii="Arial" w:cs="Arial" w:eastAsia="Arial" w:hAnsi="Arial"/>
                <w:sz w:val="14"/>
                <w:szCs w:val="14"/>
                <w:color w:val="auto"/>
              </w:rPr>
              <w:t>Performance Shares</w:t>
            </w:r>
          </w:p>
        </w:tc>
        <w:tc>
          <w:tcPr>
            <w:tcW w:w="1100" w:type="dxa"/>
            <w:vAlign w:val="bottom"/>
            <w:tcBorders>
              <w:bottom w:val="single" w:sz="8" w:color="949599"/>
            </w:tcBorders>
          </w:tcPr>
          <w:p>
            <w:pPr>
              <w:jc w:val="right"/>
              <w:ind w:right="29"/>
              <w:spacing w:after="0"/>
              <w:rPr>
                <w:sz w:val="20"/>
                <w:szCs w:val="20"/>
                <w:color w:val="auto"/>
              </w:rPr>
            </w:pPr>
            <w:r>
              <w:rPr>
                <w:rFonts w:ascii="Arial" w:cs="Arial" w:eastAsia="Arial" w:hAnsi="Arial"/>
                <w:sz w:val="14"/>
                <w:szCs w:val="14"/>
                <w:color w:val="auto"/>
              </w:rPr>
              <w:t>12/1/2020</w:t>
            </w:r>
          </w:p>
        </w:tc>
        <w:tc>
          <w:tcPr>
            <w:tcW w:w="760" w:type="dxa"/>
            <w:vAlign w:val="bottom"/>
            <w:tcBorders>
              <w:bottom w:val="single" w:sz="8" w:color="949599"/>
            </w:tcBorders>
          </w:tcPr>
          <w:p>
            <w:pPr>
              <w:spacing w:after="0"/>
              <w:rPr>
                <w:sz w:val="17"/>
                <w:szCs w:val="17"/>
                <w:color w:val="auto"/>
              </w:rPr>
            </w:pPr>
          </w:p>
        </w:tc>
        <w:tc>
          <w:tcPr>
            <w:tcW w:w="760" w:type="dxa"/>
            <w:vAlign w:val="bottom"/>
            <w:tcBorders>
              <w:bottom w:val="single" w:sz="8" w:color="949599"/>
            </w:tcBorders>
          </w:tcPr>
          <w:p>
            <w:pPr>
              <w:spacing w:after="0"/>
              <w:rPr>
                <w:sz w:val="17"/>
                <w:szCs w:val="17"/>
                <w:color w:val="auto"/>
              </w:rPr>
            </w:pPr>
          </w:p>
        </w:tc>
        <w:tc>
          <w:tcPr>
            <w:tcW w:w="720" w:type="dxa"/>
            <w:vAlign w:val="bottom"/>
            <w:tcBorders>
              <w:bottom w:val="single" w:sz="8" w:color="949599"/>
            </w:tcBorders>
          </w:tcPr>
          <w:p>
            <w:pPr>
              <w:spacing w:after="0"/>
              <w:rPr>
                <w:sz w:val="17"/>
                <w:szCs w:val="17"/>
                <w:color w:val="auto"/>
              </w:rPr>
            </w:pPr>
          </w:p>
        </w:tc>
        <w:tc>
          <w:tcPr>
            <w:tcW w:w="100" w:type="dxa"/>
            <w:vAlign w:val="bottom"/>
            <w:tcBorders>
              <w:bottom w:val="single" w:sz="8" w:color="949599"/>
            </w:tcBorders>
          </w:tcPr>
          <w:p>
            <w:pPr>
              <w:spacing w:after="0"/>
              <w:rPr>
                <w:sz w:val="17"/>
                <w:szCs w:val="17"/>
                <w:color w:val="auto"/>
              </w:rPr>
            </w:pPr>
          </w:p>
        </w:tc>
        <w:tc>
          <w:tcPr>
            <w:tcW w:w="860" w:type="dxa"/>
            <w:vAlign w:val="bottom"/>
            <w:tcBorders>
              <w:bottom w:val="single" w:sz="8" w:color="949599"/>
            </w:tcBorders>
          </w:tcPr>
          <w:p>
            <w:pPr>
              <w:jc w:val="center"/>
              <w:ind w:right="109"/>
              <w:spacing w:after="0"/>
              <w:rPr>
                <w:sz w:val="20"/>
                <w:szCs w:val="20"/>
                <w:color w:val="auto"/>
              </w:rPr>
            </w:pPr>
            <w:r>
              <w:rPr>
                <w:rFonts w:ascii="Arial" w:cs="Arial" w:eastAsia="Arial" w:hAnsi="Arial"/>
                <w:sz w:val="14"/>
                <w:szCs w:val="14"/>
                <w:color w:val="auto"/>
              </w:rPr>
              <w:t>0</w:t>
            </w:r>
          </w:p>
        </w:tc>
        <w:tc>
          <w:tcPr>
            <w:tcW w:w="860" w:type="dxa"/>
            <w:vAlign w:val="bottom"/>
            <w:tcBorders>
              <w:bottom w:val="single" w:sz="8" w:color="949599"/>
            </w:tcBorders>
          </w:tcPr>
          <w:p>
            <w:pPr>
              <w:jc w:val="right"/>
              <w:ind w:right="189"/>
              <w:spacing w:after="0"/>
              <w:rPr>
                <w:sz w:val="20"/>
                <w:szCs w:val="20"/>
                <w:color w:val="auto"/>
              </w:rPr>
            </w:pPr>
            <w:r>
              <w:rPr>
                <w:rFonts w:ascii="Arial" w:cs="Arial" w:eastAsia="Arial" w:hAnsi="Arial"/>
                <w:sz w:val="14"/>
                <w:szCs w:val="14"/>
                <w:color w:val="auto"/>
              </w:rPr>
              <w:t>724</w:t>
            </w:r>
          </w:p>
        </w:tc>
        <w:tc>
          <w:tcPr>
            <w:tcW w:w="660" w:type="dxa"/>
            <w:vAlign w:val="bottom"/>
            <w:tcBorders>
              <w:bottom w:val="single" w:sz="8" w:color="949599"/>
            </w:tcBorders>
            <w:gridSpan w:val="2"/>
          </w:tcPr>
          <w:p>
            <w:pPr>
              <w:jc w:val="right"/>
              <w:ind w:right="140"/>
              <w:spacing w:after="0"/>
              <w:rPr>
                <w:sz w:val="20"/>
                <w:szCs w:val="20"/>
                <w:color w:val="auto"/>
              </w:rPr>
            </w:pPr>
            <w:r>
              <w:rPr>
                <w:rFonts w:ascii="Arial" w:cs="Arial" w:eastAsia="Arial" w:hAnsi="Arial"/>
                <w:sz w:val="14"/>
                <w:szCs w:val="14"/>
                <w:color w:val="auto"/>
              </w:rPr>
              <w:t>1,557</w:t>
            </w:r>
          </w:p>
        </w:tc>
        <w:tc>
          <w:tcPr>
            <w:tcW w:w="1020" w:type="dxa"/>
            <w:vAlign w:val="bottom"/>
            <w:tcBorders>
              <w:bottom w:val="single" w:sz="8" w:color="949599"/>
            </w:tcBorders>
          </w:tcPr>
          <w:p>
            <w:pPr>
              <w:spacing w:after="0"/>
              <w:rPr>
                <w:sz w:val="17"/>
                <w:szCs w:val="17"/>
                <w:color w:val="auto"/>
              </w:rPr>
            </w:pPr>
          </w:p>
        </w:tc>
        <w:tc>
          <w:tcPr>
            <w:tcW w:w="940" w:type="dxa"/>
            <w:vAlign w:val="bottom"/>
            <w:tcBorders>
              <w:bottom w:val="single" w:sz="8" w:color="949599"/>
            </w:tcBorders>
          </w:tcPr>
          <w:p>
            <w:pPr>
              <w:jc w:val="right"/>
              <w:ind w:right="29"/>
              <w:spacing w:after="0"/>
              <w:rPr>
                <w:sz w:val="20"/>
                <w:szCs w:val="20"/>
                <w:color w:val="auto"/>
              </w:rPr>
            </w:pPr>
            <w:r>
              <w:rPr>
                <w:rFonts w:ascii="Arial" w:cs="Arial" w:eastAsia="Arial" w:hAnsi="Arial"/>
                <w:sz w:val="14"/>
                <w:szCs w:val="14"/>
                <w:color w:val="auto"/>
              </w:rPr>
              <w:t>170,488</w:t>
            </w:r>
          </w:p>
        </w:tc>
        <w:tc>
          <w:tcPr>
            <w:tcW w:w="0" w:type="dxa"/>
            <w:vAlign w:val="bottom"/>
          </w:tcPr>
          <w:p>
            <w:pPr>
              <w:spacing w:after="0"/>
              <w:rPr>
                <w:sz w:val="1"/>
                <w:szCs w:val="1"/>
                <w:color w:val="auto"/>
              </w:rPr>
            </w:pPr>
          </w:p>
        </w:tc>
      </w:tr>
      <w:tr>
        <w:trPr>
          <w:trHeight w:val="206"/>
        </w:trPr>
        <w:tc>
          <w:tcPr>
            <w:tcW w:w="1820" w:type="dxa"/>
            <w:vAlign w:val="bottom"/>
            <w:tcBorders>
              <w:bottom w:val="single" w:sz="8" w:color="949599"/>
            </w:tcBorders>
          </w:tcPr>
          <w:p>
            <w:pPr>
              <w:spacing w:after="0"/>
              <w:rPr>
                <w:sz w:val="17"/>
                <w:szCs w:val="17"/>
                <w:color w:val="auto"/>
              </w:rPr>
            </w:pPr>
          </w:p>
        </w:tc>
        <w:tc>
          <w:tcPr>
            <w:tcW w:w="1640" w:type="dxa"/>
            <w:vAlign w:val="bottom"/>
            <w:tcBorders>
              <w:bottom w:val="single" w:sz="8" w:color="949599"/>
            </w:tcBorders>
          </w:tcPr>
          <w:p>
            <w:pPr>
              <w:spacing w:after="0"/>
              <w:rPr>
                <w:sz w:val="20"/>
                <w:szCs w:val="20"/>
                <w:color w:val="auto"/>
              </w:rPr>
            </w:pPr>
            <w:r>
              <w:rPr>
                <w:rFonts w:ascii="Arial" w:cs="Arial" w:eastAsia="Arial" w:hAnsi="Arial"/>
                <w:sz w:val="14"/>
                <w:szCs w:val="14"/>
                <w:color w:val="auto"/>
              </w:rPr>
              <w:t>Restricted Stock Units</w:t>
            </w:r>
          </w:p>
        </w:tc>
        <w:tc>
          <w:tcPr>
            <w:tcW w:w="1100" w:type="dxa"/>
            <w:vAlign w:val="bottom"/>
            <w:tcBorders>
              <w:bottom w:val="single" w:sz="8" w:color="949599"/>
            </w:tcBorders>
          </w:tcPr>
          <w:p>
            <w:pPr>
              <w:jc w:val="right"/>
              <w:ind w:right="29"/>
              <w:spacing w:after="0"/>
              <w:rPr>
                <w:sz w:val="20"/>
                <w:szCs w:val="20"/>
                <w:color w:val="auto"/>
              </w:rPr>
            </w:pPr>
            <w:r>
              <w:rPr>
                <w:rFonts w:ascii="Arial" w:cs="Arial" w:eastAsia="Arial" w:hAnsi="Arial"/>
                <w:sz w:val="14"/>
                <w:szCs w:val="14"/>
                <w:color w:val="auto"/>
              </w:rPr>
              <w:t>12/1/2020</w:t>
            </w:r>
          </w:p>
        </w:tc>
        <w:tc>
          <w:tcPr>
            <w:tcW w:w="760" w:type="dxa"/>
            <w:vAlign w:val="bottom"/>
            <w:tcBorders>
              <w:bottom w:val="single" w:sz="8" w:color="949599"/>
            </w:tcBorders>
          </w:tcPr>
          <w:p>
            <w:pPr>
              <w:spacing w:after="0"/>
              <w:rPr>
                <w:sz w:val="17"/>
                <w:szCs w:val="17"/>
                <w:color w:val="auto"/>
              </w:rPr>
            </w:pPr>
          </w:p>
        </w:tc>
        <w:tc>
          <w:tcPr>
            <w:tcW w:w="760" w:type="dxa"/>
            <w:vAlign w:val="bottom"/>
            <w:tcBorders>
              <w:bottom w:val="single" w:sz="8" w:color="949599"/>
            </w:tcBorders>
          </w:tcPr>
          <w:p>
            <w:pPr>
              <w:spacing w:after="0"/>
              <w:rPr>
                <w:sz w:val="17"/>
                <w:szCs w:val="17"/>
                <w:color w:val="auto"/>
              </w:rPr>
            </w:pPr>
          </w:p>
        </w:tc>
        <w:tc>
          <w:tcPr>
            <w:tcW w:w="720" w:type="dxa"/>
            <w:vAlign w:val="bottom"/>
            <w:tcBorders>
              <w:bottom w:val="single" w:sz="8" w:color="949599"/>
            </w:tcBorders>
          </w:tcPr>
          <w:p>
            <w:pPr>
              <w:spacing w:after="0"/>
              <w:rPr>
                <w:sz w:val="17"/>
                <w:szCs w:val="17"/>
                <w:color w:val="auto"/>
              </w:rPr>
            </w:pPr>
          </w:p>
        </w:tc>
        <w:tc>
          <w:tcPr>
            <w:tcW w:w="100" w:type="dxa"/>
            <w:vAlign w:val="bottom"/>
            <w:tcBorders>
              <w:bottom w:val="single" w:sz="8" w:color="949599"/>
            </w:tcBorders>
          </w:tcPr>
          <w:p>
            <w:pPr>
              <w:spacing w:after="0"/>
              <w:rPr>
                <w:sz w:val="17"/>
                <w:szCs w:val="17"/>
                <w:color w:val="auto"/>
              </w:rPr>
            </w:pPr>
          </w:p>
        </w:tc>
        <w:tc>
          <w:tcPr>
            <w:tcW w:w="860" w:type="dxa"/>
            <w:vAlign w:val="bottom"/>
            <w:tcBorders>
              <w:bottom w:val="single" w:sz="8" w:color="949599"/>
            </w:tcBorders>
          </w:tcPr>
          <w:p>
            <w:pPr>
              <w:spacing w:after="0"/>
              <w:rPr>
                <w:sz w:val="17"/>
                <w:szCs w:val="17"/>
                <w:color w:val="auto"/>
              </w:rPr>
            </w:pPr>
          </w:p>
        </w:tc>
        <w:tc>
          <w:tcPr>
            <w:tcW w:w="860" w:type="dxa"/>
            <w:vAlign w:val="bottom"/>
            <w:tcBorders>
              <w:bottom w:val="single" w:sz="8" w:color="949599"/>
            </w:tcBorders>
          </w:tcPr>
          <w:p>
            <w:pPr>
              <w:spacing w:after="0"/>
              <w:rPr>
                <w:sz w:val="17"/>
                <w:szCs w:val="17"/>
                <w:color w:val="auto"/>
              </w:rPr>
            </w:pPr>
          </w:p>
        </w:tc>
        <w:tc>
          <w:tcPr>
            <w:tcW w:w="520" w:type="dxa"/>
            <w:vAlign w:val="bottom"/>
            <w:tcBorders>
              <w:bottom w:val="single" w:sz="8" w:color="949599"/>
            </w:tcBorders>
          </w:tcPr>
          <w:p>
            <w:pPr>
              <w:spacing w:after="0"/>
              <w:rPr>
                <w:sz w:val="17"/>
                <w:szCs w:val="17"/>
                <w:color w:val="auto"/>
              </w:rPr>
            </w:pPr>
          </w:p>
        </w:tc>
        <w:tc>
          <w:tcPr>
            <w:tcW w:w="140" w:type="dxa"/>
            <w:vAlign w:val="bottom"/>
            <w:tcBorders>
              <w:bottom w:val="single" w:sz="8" w:color="949599"/>
            </w:tcBorders>
          </w:tcPr>
          <w:p>
            <w:pPr>
              <w:spacing w:after="0"/>
              <w:rPr>
                <w:sz w:val="17"/>
                <w:szCs w:val="17"/>
                <w:color w:val="auto"/>
              </w:rPr>
            </w:pPr>
          </w:p>
        </w:tc>
        <w:tc>
          <w:tcPr>
            <w:tcW w:w="1020" w:type="dxa"/>
            <w:vAlign w:val="bottom"/>
            <w:tcBorders>
              <w:bottom w:val="single" w:sz="8" w:color="949599"/>
            </w:tcBorders>
          </w:tcPr>
          <w:p>
            <w:pPr>
              <w:jc w:val="right"/>
              <w:ind w:right="89"/>
              <w:spacing w:after="0"/>
              <w:rPr>
                <w:sz w:val="20"/>
                <w:szCs w:val="20"/>
                <w:color w:val="auto"/>
              </w:rPr>
            </w:pPr>
            <w:r>
              <w:rPr>
                <w:rFonts w:ascii="Arial" w:cs="Arial" w:eastAsia="Arial" w:hAnsi="Arial"/>
                <w:sz w:val="14"/>
                <w:szCs w:val="14"/>
                <w:color w:val="auto"/>
              </w:rPr>
              <w:t>483</w:t>
            </w:r>
          </w:p>
        </w:tc>
        <w:tc>
          <w:tcPr>
            <w:tcW w:w="940" w:type="dxa"/>
            <w:vAlign w:val="bottom"/>
            <w:tcBorders>
              <w:bottom w:val="single" w:sz="8" w:color="949599"/>
            </w:tcBorders>
          </w:tcPr>
          <w:p>
            <w:pPr>
              <w:jc w:val="right"/>
              <w:ind w:right="29"/>
              <w:spacing w:after="0"/>
              <w:rPr>
                <w:sz w:val="20"/>
                <w:szCs w:val="20"/>
                <w:color w:val="auto"/>
              </w:rPr>
            </w:pPr>
            <w:r>
              <w:rPr>
                <w:rFonts w:ascii="Arial" w:cs="Arial" w:eastAsia="Arial" w:hAnsi="Arial"/>
                <w:sz w:val="14"/>
                <w:szCs w:val="14"/>
                <w:color w:val="auto"/>
              </w:rPr>
              <w:t>136,776</w:t>
            </w:r>
          </w:p>
        </w:tc>
        <w:tc>
          <w:tcPr>
            <w:tcW w:w="0" w:type="dxa"/>
            <w:vAlign w:val="bottom"/>
          </w:tcPr>
          <w:p>
            <w:pPr>
              <w:spacing w:after="0"/>
              <w:rPr>
                <w:sz w:val="1"/>
                <w:szCs w:val="1"/>
                <w:color w:val="auto"/>
              </w:rPr>
            </w:pPr>
          </w:p>
        </w:tc>
      </w:tr>
      <w:tr>
        <w:trPr>
          <w:trHeight w:val="212"/>
        </w:trPr>
        <w:tc>
          <w:tcPr>
            <w:tcW w:w="1820" w:type="dxa"/>
            <w:vAlign w:val="bottom"/>
          </w:tcPr>
          <w:p>
            <w:pPr>
              <w:ind w:left="80"/>
              <w:spacing w:after="0" w:line="212" w:lineRule="exact"/>
              <w:rPr>
                <w:sz w:val="20"/>
                <w:szCs w:val="20"/>
                <w:color w:val="auto"/>
              </w:rPr>
            </w:pPr>
            <w:r>
              <w:rPr>
                <w:rFonts w:ascii="Arial" w:cs="Arial" w:eastAsia="Arial" w:hAnsi="Arial"/>
                <w:sz w:val="14"/>
                <w:szCs w:val="14"/>
                <w:b w:val="1"/>
                <w:bCs w:val="1"/>
                <w:color w:val="009A4B"/>
              </w:rPr>
              <w:t>M. Scott Crocco</w:t>
            </w:r>
            <w:r>
              <w:rPr>
                <w:rFonts w:ascii="Arial" w:cs="Arial" w:eastAsia="Arial" w:hAnsi="Arial"/>
                <w:sz w:val="23"/>
                <w:szCs w:val="23"/>
                <w:b w:val="1"/>
                <w:bCs w:val="1"/>
                <w:color w:val="009A4B"/>
                <w:vertAlign w:val="superscript"/>
              </w:rPr>
              <w:t>(2)</w:t>
            </w:r>
          </w:p>
        </w:tc>
        <w:tc>
          <w:tcPr>
            <w:tcW w:w="1640" w:type="dxa"/>
            <w:vAlign w:val="bottom"/>
            <w:tcBorders>
              <w:bottom w:val="single" w:sz="8" w:color="949599"/>
            </w:tcBorders>
          </w:tcPr>
          <w:p>
            <w:pPr>
              <w:spacing w:after="0"/>
              <w:rPr>
                <w:sz w:val="20"/>
                <w:szCs w:val="20"/>
                <w:color w:val="auto"/>
              </w:rPr>
            </w:pPr>
            <w:r>
              <w:rPr>
                <w:rFonts w:ascii="Arial" w:cs="Arial" w:eastAsia="Arial" w:hAnsi="Arial"/>
                <w:sz w:val="14"/>
                <w:szCs w:val="14"/>
                <w:color w:val="auto"/>
              </w:rPr>
              <w:t>Annual Incentive Plan</w:t>
            </w:r>
          </w:p>
        </w:tc>
        <w:tc>
          <w:tcPr>
            <w:tcW w:w="1100" w:type="dxa"/>
            <w:vAlign w:val="bottom"/>
            <w:tcBorders>
              <w:bottom w:val="single" w:sz="8" w:color="949599"/>
            </w:tcBorders>
          </w:tcPr>
          <w:p>
            <w:pPr>
              <w:spacing w:after="0"/>
              <w:rPr>
                <w:sz w:val="18"/>
                <w:szCs w:val="18"/>
                <w:color w:val="auto"/>
              </w:rPr>
            </w:pPr>
          </w:p>
        </w:tc>
        <w:tc>
          <w:tcPr>
            <w:tcW w:w="760" w:type="dxa"/>
            <w:vAlign w:val="bottom"/>
            <w:tcBorders>
              <w:bottom w:val="single" w:sz="8" w:color="949599"/>
            </w:tcBorders>
          </w:tcPr>
          <w:p>
            <w:pPr>
              <w:jc w:val="center"/>
              <w:ind w:right="9"/>
              <w:spacing w:after="0"/>
              <w:rPr>
                <w:sz w:val="20"/>
                <w:szCs w:val="20"/>
                <w:color w:val="auto"/>
              </w:rPr>
            </w:pPr>
            <w:r>
              <w:rPr>
                <w:rFonts w:ascii="Arial" w:cs="Arial" w:eastAsia="Arial" w:hAnsi="Arial"/>
                <w:sz w:val="14"/>
                <w:szCs w:val="14"/>
                <w:color w:val="auto"/>
              </w:rPr>
              <w:t>0</w:t>
            </w:r>
          </w:p>
        </w:tc>
        <w:tc>
          <w:tcPr>
            <w:tcW w:w="76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585,000</w:t>
            </w:r>
          </w:p>
        </w:tc>
        <w:tc>
          <w:tcPr>
            <w:tcW w:w="72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1,345,500</w:t>
            </w:r>
          </w:p>
        </w:tc>
        <w:tc>
          <w:tcPr>
            <w:tcW w:w="100" w:type="dxa"/>
            <w:vAlign w:val="bottom"/>
            <w:tcBorders>
              <w:bottom w:val="single" w:sz="8" w:color="949599"/>
            </w:tcBorders>
          </w:tcPr>
          <w:p>
            <w:pPr>
              <w:spacing w:after="0"/>
              <w:rPr>
                <w:sz w:val="18"/>
                <w:szCs w:val="18"/>
                <w:color w:val="auto"/>
              </w:rPr>
            </w:pPr>
          </w:p>
        </w:tc>
        <w:tc>
          <w:tcPr>
            <w:tcW w:w="860" w:type="dxa"/>
            <w:vAlign w:val="bottom"/>
            <w:tcBorders>
              <w:bottom w:val="single" w:sz="8" w:color="949599"/>
            </w:tcBorders>
          </w:tcPr>
          <w:p>
            <w:pPr>
              <w:spacing w:after="0"/>
              <w:rPr>
                <w:sz w:val="18"/>
                <w:szCs w:val="18"/>
                <w:color w:val="auto"/>
              </w:rPr>
            </w:pPr>
          </w:p>
        </w:tc>
        <w:tc>
          <w:tcPr>
            <w:tcW w:w="860" w:type="dxa"/>
            <w:vAlign w:val="bottom"/>
            <w:tcBorders>
              <w:bottom w:val="single" w:sz="8" w:color="949599"/>
            </w:tcBorders>
          </w:tcPr>
          <w:p>
            <w:pPr>
              <w:spacing w:after="0"/>
              <w:rPr>
                <w:sz w:val="18"/>
                <w:szCs w:val="18"/>
                <w:color w:val="auto"/>
              </w:rPr>
            </w:pPr>
          </w:p>
        </w:tc>
        <w:tc>
          <w:tcPr>
            <w:tcW w:w="520" w:type="dxa"/>
            <w:vAlign w:val="bottom"/>
            <w:tcBorders>
              <w:bottom w:val="single" w:sz="8" w:color="949599"/>
            </w:tcBorders>
          </w:tcPr>
          <w:p>
            <w:pPr>
              <w:spacing w:after="0"/>
              <w:rPr>
                <w:sz w:val="18"/>
                <w:szCs w:val="18"/>
                <w:color w:val="auto"/>
              </w:rPr>
            </w:pPr>
          </w:p>
        </w:tc>
        <w:tc>
          <w:tcPr>
            <w:tcW w:w="140" w:type="dxa"/>
            <w:vAlign w:val="bottom"/>
            <w:tcBorders>
              <w:bottom w:val="single" w:sz="8" w:color="949599"/>
            </w:tcBorders>
          </w:tcPr>
          <w:p>
            <w:pPr>
              <w:spacing w:after="0"/>
              <w:rPr>
                <w:sz w:val="18"/>
                <w:szCs w:val="18"/>
                <w:color w:val="auto"/>
              </w:rPr>
            </w:pPr>
          </w:p>
        </w:tc>
        <w:tc>
          <w:tcPr>
            <w:tcW w:w="1020" w:type="dxa"/>
            <w:vAlign w:val="bottom"/>
            <w:tcBorders>
              <w:bottom w:val="single" w:sz="8" w:color="949599"/>
            </w:tcBorders>
          </w:tcPr>
          <w:p>
            <w:pPr>
              <w:spacing w:after="0"/>
              <w:rPr>
                <w:sz w:val="18"/>
                <w:szCs w:val="18"/>
                <w:color w:val="auto"/>
              </w:rPr>
            </w:pPr>
          </w:p>
        </w:tc>
        <w:tc>
          <w:tcPr>
            <w:tcW w:w="940" w:type="dxa"/>
            <w:vAlign w:val="bottom"/>
            <w:tcBorders>
              <w:bottom w:val="single" w:sz="8" w:color="949599"/>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820" w:type="dxa"/>
            <w:vAlign w:val="bottom"/>
          </w:tcPr>
          <w:p>
            <w:pPr>
              <w:spacing w:after="0"/>
              <w:rPr>
                <w:sz w:val="17"/>
                <w:szCs w:val="17"/>
                <w:color w:val="auto"/>
              </w:rPr>
            </w:pPr>
          </w:p>
        </w:tc>
        <w:tc>
          <w:tcPr>
            <w:tcW w:w="1640" w:type="dxa"/>
            <w:vAlign w:val="bottom"/>
            <w:tcBorders>
              <w:bottom w:val="single" w:sz="8" w:color="949599"/>
            </w:tcBorders>
          </w:tcPr>
          <w:p>
            <w:pPr>
              <w:spacing w:after="0"/>
              <w:rPr>
                <w:sz w:val="20"/>
                <w:szCs w:val="20"/>
                <w:color w:val="auto"/>
              </w:rPr>
            </w:pPr>
            <w:r>
              <w:rPr>
                <w:rFonts w:ascii="Arial" w:cs="Arial" w:eastAsia="Arial" w:hAnsi="Arial"/>
                <w:sz w:val="14"/>
                <w:szCs w:val="14"/>
                <w:color w:val="auto"/>
              </w:rPr>
              <w:t>Performance Shares</w:t>
            </w:r>
          </w:p>
        </w:tc>
        <w:tc>
          <w:tcPr>
            <w:tcW w:w="1100" w:type="dxa"/>
            <w:vAlign w:val="bottom"/>
            <w:tcBorders>
              <w:bottom w:val="single" w:sz="8" w:color="949599"/>
            </w:tcBorders>
          </w:tcPr>
          <w:p>
            <w:pPr>
              <w:jc w:val="right"/>
              <w:ind w:right="29"/>
              <w:spacing w:after="0"/>
              <w:rPr>
                <w:sz w:val="20"/>
                <w:szCs w:val="20"/>
                <w:color w:val="auto"/>
              </w:rPr>
            </w:pPr>
            <w:r>
              <w:rPr>
                <w:rFonts w:ascii="Arial" w:cs="Arial" w:eastAsia="Arial" w:hAnsi="Arial"/>
                <w:sz w:val="14"/>
                <w:szCs w:val="14"/>
                <w:color w:val="auto"/>
              </w:rPr>
              <w:t>12/1/2020</w:t>
            </w:r>
          </w:p>
        </w:tc>
        <w:tc>
          <w:tcPr>
            <w:tcW w:w="760" w:type="dxa"/>
            <w:vAlign w:val="bottom"/>
            <w:tcBorders>
              <w:bottom w:val="single" w:sz="8" w:color="949599"/>
            </w:tcBorders>
          </w:tcPr>
          <w:p>
            <w:pPr>
              <w:spacing w:after="0"/>
              <w:rPr>
                <w:sz w:val="17"/>
                <w:szCs w:val="17"/>
                <w:color w:val="auto"/>
              </w:rPr>
            </w:pPr>
          </w:p>
        </w:tc>
        <w:tc>
          <w:tcPr>
            <w:tcW w:w="760" w:type="dxa"/>
            <w:vAlign w:val="bottom"/>
            <w:tcBorders>
              <w:bottom w:val="single" w:sz="8" w:color="949599"/>
            </w:tcBorders>
          </w:tcPr>
          <w:p>
            <w:pPr>
              <w:spacing w:after="0"/>
              <w:rPr>
                <w:sz w:val="17"/>
                <w:szCs w:val="17"/>
                <w:color w:val="auto"/>
              </w:rPr>
            </w:pPr>
          </w:p>
        </w:tc>
        <w:tc>
          <w:tcPr>
            <w:tcW w:w="720" w:type="dxa"/>
            <w:vAlign w:val="bottom"/>
            <w:tcBorders>
              <w:bottom w:val="single" w:sz="8" w:color="949599"/>
            </w:tcBorders>
          </w:tcPr>
          <w:p>
            <w:pPr>
              <w:spacing w:after="0"/>
              <w:rPr>
                <w:sz w:val="17"/>
                <w:szCs w:val="17"/>
                <w:color w:val="auto"/>
              </w:rPr>
            </w:pPr>
          </w:p>
        </w:tc>
        <w:tc>
          <w:tcPr>
            <w:tcW w:w="100" w:type="dxa"/>
            <w:vAlign w:val="bottom"/>
            <w:tcBorders>
              <w:bottom w:val="single" w:sz="8" w:color="949599"/>
            </w:tcBorders>
          </w:tcPr>
          <w:p>
            <w:pPr>
              <w:spacing w:after="0"/>
              <w:rPr>
                <w:sz w:val="17"/>
                <w:szCs w:val="17"/>
                <w:color w:val="auto"/>
              </w:rPr>
            </w:pPr>
          </w:p>
        </w:tc>
        <w:tc>
          <w:tcPr>
            <w:tcW w:w="860" w:type="dxa"/>
            <w:vAlign w:val="bottom"/>
            <w:tcBorders>
              <w:bottom w:val="single" w:sz="8" w:color="949599"/>
            </w:tcBorders>
          </w:tcPr>
          <w:p>
            <w:pPr>
              <w:jc w:val="center"/>
              <w:ind w:right="109"/>
              <w:spacing w:after="0"/>
              <w:rPr>
                <w:sz w:val="20"/>
                <w:szCs w:val="20"/>
                <w:color w:val="auto"/>
              </w:rPr>
            </w:pPr>
            <w:r>
              <w:rPr>
                <w:rFonts w:ascii="Arial" w:cs="Arial" w:eastAsia="Arial" w:hAnsi="Arial"/>
                <w:sz w:val="14"/>
                <w:szCs w:val="14"/>
                <w:color w:val="auto"/>
              </w:rPr>
              <w:t>0</w:t>
            </w:r>
          </w:p>
        </w:tc>
        <w:tc>
          <w:tcPr>
            <w:tcW w:w="860" w:type="dxa"/>
            <w:vAlign w:val="bottom"/>
            <w:tcBorders>
              <w:bottom w:val="single" w:sz="8" w:color="949599"/>
            </w:tcBorders>
          </w:tcPr>
          <w:p>
            <w:pPr>
              <w:jc w:val="right"/>
              <w:ind w:right="189"/>
              <w:spacing w:after="0"/>
              <w:rPr>
                <w:sz w:val="20"/>
                <w:szCs w:val="20"/>
                <w:color w:val="auto"/>
              </w:rPr>
            </w:pPr>
            <w:r>
              <w:rPr>
                <w:rFonts w:ascii="Arial" w:cs="Arial" w:eastAsia="Arial" w:hAnsi="Arial"/>
                <w:sz w:val="14"/>
                <w:szCs w:val="14"/>
                <w:color w:val="auto"/>
              </w:rPr>
              <w:t>3,727</w:t>
            </w:r>
          </w:p>
        </w:tc>
        <w:tc>
          <w:tcPr>
            <w:tcW w:w="660" w:type="dxa"/>
            <w:vAlign w:val="bottom"/>
            <w:tcBorders>
              <w:bottom w:val="single" w:sz="8" w:color="949599"/>
            </w:tcBorders>
            <w:gridSpan w:val="2"/>
          </w:tcPr>
          <w:p>
            <w:pPr>
              <w:jc w:val="right"/>
              <w:ind w:right="140"/>
              <w:spacing w:after="0"/>
              <w:rPr>
                <w:sz w:val="20"/>
                <w:szCs w:val="20"/>
                <w:color w:val="auto"/>
              </w:rPr>
            </w:pPr>
            <w:r>
              <w:rPr>
                <w:rFonts w:ascii="Arial" w:cs="Arial" w:eastAsia="Arial" w:hAnsi="Arial"/>
                <w:sz w:val="14"/>
                <w:szCs w:val="14"/>
                <w:color w:val="auto"/>
              </w:rPr>
              <w:t>8,013</w:t>
            </w:r>
          </w:p>
        </w:tc>
        <w:tc>
          <w:tcPr>
            <w:tcW w:w="1020" w:type="dxa"/>
            <w:vAlign w:val="bottom"/>
            <w:tcBorders>
              <w:bottom w:val="single" w:sz="8" w:color="949599"/>
            </w:tcBorders>
          </w:tcPr>
          <w:p>
            <w:pPr>
              <w:spacing w:after="0"/>
              <w:rPr>
                <w:sz w:val="17"/>
                <w:szCs w:val="17"/>
                <w:color w:val="auto"/>
              </w:rPr>
            </w:pPr>
          </w:p>
        </w:tc>
        <w:tc>
          <w:tcPr>
            <w:tcW w:w="940" w:type="dxa"/>
            <w:vAlign w:val="bottom"/>
            <w:tcBorders>
              <w:bottom w:val="single" w:sz="8" w:color="949599"/>
            </w:tcBorders>
          </w:tcPr>
          <w:p>
            <w:pPr>
              <w:jc w:val="right"/>
              <w:ind w:right="29"/>
              <w:spacing w:after="0"/>
              <w:rPr>
                <w:sz w:val="20"/>
                <w:szCs w:val="20"/>
                <w:color w:val="auto"/>
              </w:rPr>
            </w:pPr>
            <w:r>
              <w:rPr>
                <w:rFonts w:ascii="Arial" w:cs="Arial" w:eastAsia="Arial" w:hAnsi="Arial"/>
                <w:sz w:val="14"/>
                <w:szCs w:val="14"/>
                <w:color w:val="auto"/>
              </w:rPr>
              <w:t>877,634</w:t>
            </w:r>
          </w:p>
        </w:tc>
        <w:tc>
          <w:tcPr>
            <w:tcW w:w="0" w:type="dxa"/>
            <w:vAlign w:val="bottom"/>
          </w:tcPr>
          <w:p>
            <w:pPr>
              <w:spacing w:after="0"/>
              <w:rPr>
                <w:sz w:val="1"/>
                <w:szCs w:val="1"/>
                <w:color w:val="auto"/>
              </w:rPr>
            </w:pPr>
          </w:p>
        </w:tc>
      </w:tr>
      <w:tr>
        <w:trPr>
          <w:trHeight w:val="206"/>
        </w:trPr>
        <w:tc>
          <w:tcPr>
            <w:tcW w:w="1820" w:type="dxa"/>
            <w:vAlign w:val="bottom"/>
            <w:tcBorders>
              <w:bottom w:val="single" w:sz="8" w:color="949599"/>
            </w:tcBorders>
          </w:tcPr>
          <w:p>
            <w:pPr>
              <w:spacing w:after="0"/>
              <w:rPr>
                <w:sz w:val="17"/>
                <w:szCs w:val="17"/>
                <w:color w:val="auto"/>
              </w:rPr>
            </w:pPr>
          </w:p>
        </w:tc>
        <w:tc>
          <w:tcPr>
            <w:tcW w:w="1640" w:type="dxa"/>
            <w:vAlign w:val="bottom"/>
            <w:tcBorders>
              <w:bottom w:val="single" w:sz="8" w:color="949599"/>
            </w:tcBorders>
          </w:tcPr>
          <w:p>
            <w:pPr>
              <w:spacing w:after="0"/>
              <w:rPr>
                <w:sz w:val="20"/>
                <w:szCs w:val="20"/>
                <w:color w:val="auto"/>
              </w:rPr>
            </w:pPr>
            <w:r>
              <w:rPr>
                <w:rFonts w:ascii="Arial" w:cs="Arial" w:eastAsia="Arial" w:hAnsi="Arial"/>
                <w:sz w:val="14"/>
                <w:szCs w:val="14"/>
                <w:color w:val="auto"/>
              </w:rPr>
              <w:t>Restricted Stock Units</w:t>
            </w:r>
          </w:p>
        </w:tc>
        <w:tc>
          <w:tcPr>
            <w:tcW w:w="1100" w:type="dxa"/>
            <w:vAlign w:val="bottom"/>
            <w:tcBorders>
              <w:bottom w:val="single" w:sz="8" w:color="949599"/>
            </w:tcBorders>
          </w:tcPr>
          <w:p>
            <w:pPr>
              <w:jc w:val="right"/>
              <w:ind w:right="29"/>
              <w:spacing w:after="0"/>
              <w:rPr>
                <w:sz w:val="20"/>
                <w:szCs w:val="20"/>
                <w:color w:val="auto"/>
              </w:rPr>
            </w:pPr>
            <w:r>
              <w:rPr>
                <w:rFonts w:ascii="Arial" w:cs="Arial" w:eastAsia="Arial" w:hAnsi="Arial"/>
                <w:sz w:val="14"/>
                <w:szCs w:val="14"/>
                <w:color w:val="auto"/>
              </w:rPr>
              <w:t>12/1/2020</w:t>
            </w:r>
          </w:p>
        </w:tc>
        <w:tc>
          <w:tcPr>
            <w:tcW w:w="760" w:type="dxa"/>
            <w:vAlign w:val="bottom"/>
            <w:tcBorders>
              <w:bottom w:val="single" w:sz="8" w:color="949599"/>
            </w:tcBorders>
          </w:tcPr>
          <w:p>
            <w:pPr>
              <w:spacing w:after="0"/>
              <w:rPr>
                <w:sz w:val="17"/>
                <w:szCs w:val="17"/>
                <w:color w:val="auto"/>
              </w:rPr>
            </w:pPr>
          </w:p>
        </w:tc>
        <w:tc>
          <w:tcPr>
            <w:tcW w:w="760" w:type="dxa"/>
            <w:vAlign w:val="bottom"/>
            <w:tcBorders>
              <w:bottom w:val="single" w:sz="8" w:color="949599"/>
            </w:tcBorders>
          </w:tcPr>
          <w:p>
            <w:pPr>
              <w:spacing w:after="0"/>
              <w:rPr>
                <w:sz w:val="17"/>
                <w:szCs w:val="17"/>
                <w:color w:val="auto"/>
              </w:rPr>
            </w:pPr>
          </w:p>
        </w:tc>
        <w:tc>
          <w:tcPr>
            <w:tcW w:w="720" w:type="dxa"/>
            <w:vAlign w:val="bottom"/>
            <w:tcBorders>
              <w:bottom w:val="single" w:sz="8" w:color="949599"/>
            </w:tcBorders>
          </w:tcPr>
          <w:p>
            <w:pPr>
              <w:spacing w:after="0"/>
              <w:rPr>
                <w:sz w:val="17"/>
                <w:szCs w:val="17"/>
                <w:color w:val="auto"/>
              </w:rPr>
            </w:pPr>
          </w:p>
        </w:tc>
        <w:tc>
          <w:tcPr>
            <w:tcW w:w="100" w:type="dxa"/>
            <w:vAlign w:val="bottom"/>
            <w:tcBorders>
              <w:bottom w:val="single" w:sz="8" w:color="949599"/>
            </w:tcBorders>
          </w:tcPr>
          <w:p>
            <w:pPr>
              <w:spacing w:after="0"/>
              <w:rPr>
                <w:sz w:val="17"/>
                <w:szCs w:val="17"/>
                <w:color w:val="auto"/>
              </w:rPr>
            </w:pPr>
          </w:p>
        </w:tc>
        <w:tc>
          <w:tcPr>
            <w:tcW w:w="860" w:type="dxa"/>
            <w:vAlign w:val="bottom"/>
            <w:tcBorders>
              <w:bottom w:val="single" w:sz="8" w:color="949599"/>
            </w:tcBorders>
          </w:tcPr>
          <w:p>
            <w:pPr>
              <w:spacing w:after="0"/>
              <w:rPr>
                <w:sz w:val="17"/>
                <w:szCs w:val="17"/>
                <w:color w:val="auto"/>
              </w:rPr>
            </w:pPr>
          </w:p>
        </w:tc>
        <w:tc>
          <w:tcPr>
            <w:tcW w:w="860" w:type="dxa"/>
            <w:vAlign w:val="bottom"/>
            <w:tcBorders>
              <w:bottom w:val="single" w:sz="8" w:color="949599"/>
            </w:tcBorders>
          </w:tcPr>
          <w:p>
            <w:pPr>
              <w:spacing w:after="0"/>
              <w:rPr>
                <w:sz w:val="17"/>
                <w:szCs w:val="17"/>
                <w:color w:val="auto"/>
              </w:rPr>
            </w:pPr>
          </w:p>
        </w:tc>
        <w:tc>
          <w:tcPr>
            <w:tcW w:w="520" w:type="dxa"/>
            <w:vAlign w:val="bottom"/>
            <w:tcBorders>
              <w:bottom w:val="single" w:sz="8" w:color="949599"/>
            </w:tcBorders>
          </w:tcPr>
          <w:p>
            <w:pPr>
              <w:spacing w:after="0"/>
              <w:rPr>
                <w:sz w:val="17"/>
                <w:szCs w:val="17"/>
                <w:color w:val="auto"/>
              </w:rPr>
            </w:pPr>
          </w:p>
        </w:tc>
        <w:tc>
          <w:tcPr>
            <w:tcW w:w="140" w:type="dxa"/>
            <w:vAlign w:val="bottom"/>
            <w:tcBorders>
              <w:bottom w:val="single" w:sz="8" w:color="949599"/>
            </w:tcBorders>
          </w:tcPr>
          <w:p>
            <w:pPr>
              <w:spacing w:after="0"/>
              <w:rPr>
                <w:sz w:val="17"/>
                <w:szCs w:val="17"/>
                <w:color w:val="auto"/>
              </w:rPr>
            </w:pPr>
          </w:p>
        </w:tc>
        <w:tc>
          <w:tcPr>
            <w:tcW w:w="1020" w:type="dxa"/>
            <w:vAlign w:val="bottom"/>
            <w:tcBorders>
              <w:bottom w:val="single" w:sz="8" w:color="949599"/>
            </w:tcBorders>
          </w:tcPr>
          <w:p>
            <w:pPr>
              <w:jc w:val="right"/>
              <w:ind w:right="89"/>
              <w:spacing w:after="0"/>
              <w:rPr>
                <w:sz w:val="20"/>
                <w:szCs w:val="20"/>
                <w:color w:val="auto"/>
              </w:rPr>
            </w:pPr>
            <w:r>
              <w:rPr>
                <w:rFonts w:ascii="Arial" w:cs="Arial" w:eastAsia="Arial" w:hAnsi="Arial"/>
                <w:sz w:val="14"/>
                <w:szCs w:val="14"/>
                <w:color w:val="auto"/>
              </w:rPr>
              <w:t>2,484</w:t>
            </w:r>
          </w:p>
        </w:tc>
        <w:tc>
          <w:tcPr>
            <w:tcW w:w="940" w:type="dxa"/>
            <w:vAlign w:val="bottom"/>
            <w:tcBorders>
              <w:bottom w:val="single" w:sz="8" w:color="949599"/>
            </w:tcBorders>
          </w:tcPr>
          <w:p>
            <w:pPr>
              <w:jc w:val="right"/>
              <w:ind w:right="29"/>
              <w:spacing w:after="0"/>
              <w:rPr>
                <w:sz w:val="20"/>
                <w:szCs w:val="20"/>
                <w:color w:val="auto"/>
              </w:rPr>
            </w:pPr>
            <w:r>
              <w:rPr>
                <w:rFonts w:ascii="Arial" w:cs="Arial" w:eastAsia="Arial" w:hAnsi="Arial"/>
                <w:sz w:val="14"/>
                <w:szCs w:val="14"/>
                <w:color w:val="auto"/>
              </w:rPr>
              <w:t>703,419</w:t>
            </w:r>
          </w:p>
        </w:tc>
        <w:tc>
          <w:tcPr>
            <w:tcW w:w="0" w:type="dxa"/>
            <w:vAlign w:val="bottom"/>
          </w:tcPr>
          <w:p>
            <w:pPr>
              <w:spacing w:after="0"/>
              <w:rPr>
                <w:sz w:val="1"/>
                <w:szCs w:val="1"/>
                <w:color w:val="auto"/>
              </w:rPr>
            </w:pPr>
          </w:p>
        </w:tc>
      </w:tr>
      <w:tr>
        <w:trPr>
          <w:trHeight w:val="206"/>
        </w:trPr>
        <w:tc>
          <w:tcPr>
            <w:tcW w:w="1820" w:type="dxa"/>
            <w:vAlign w:val="bottom"/>
          </w:tcPr>
          <w:p>
            <w:pPr>
              <w:ind w:left="80"/>
              <w:spacing w:after="0"/>
              <w:rPr>
                <w:sz w:val="20"/>
                <w:szCs w:val="20"/>
                <w:color w:val="auto"/>
              </w:rPr>
            </w:pPr>
            <w:r>
              <w:rPr>
                <w:rFonts w:ascii="Arial" w:cs="Arial" w:eastAsia="Arial" w:hAnsi="Arial"/>
                <w:sz w:val="14"/>
                <w:szCs w:val="14"/>
                <w:b w:val="1"/>
                <w:bCs w:val="1"/>
                <w:color w:val="009A4B"/>
              </w:rPr>
              <w:t>Sean D. Major</w:t>
            </w:r>
          </w:p>
        </w:tc>
        <w:tc>
          <w:tcPr>
            <w:tcW w:w="1640" w:type="dxa"/>
            <w:vAlign w:val="bottom"/>
            <w:tcBorders>
              <w:bottom w:val="single" w:sz="8" w:color="949599"/>
            </w:tcBorders>
          </w:tcPr>
          <w:p>
            <w:pPr>
              <w:spacing w:after="0"/>
              <w:rPr>
                <w:sz w:val="20"/>
                <w:szCs w:val="20"/>
                <w:color w:val="auto"/>
              </w:rPr>
            </w:pPr>
            <w:r>
              <w:rPr>
                <w:rFonts w:ascii="Arial" w:cs="Arial" w:eastAsia="Arial" w:hAnsi="Arial"/>
                <w:sz w:val="14"/>
                <w:szCs w:val="14"/>
                <w:color w:val="auto"/>
              </w:rPr>
              <w:t>Annual Incentive Plan</w:t>
            </w:r>
          </w:p>
        </w:tc>
        <w:tc>
          <w:tcPr>
            <w:tcW w:w="1100" w:type="dxa"/>
            <w:vAlign w:val="bottom"/>
            <w:tcBorders>
              <w:bottom w:val="single" w:sz="8" w:color="949599"/>
            </w:tcBorders>
          </w:tcPr>
          <w:p>
            <w:pPr>
              <w:spacing w:after="0"/>
              <w:rPr>
                <w:sz w:val="17"/>
                <w:szCs w:val="17"/>
                <w:color w:val="auto"/>
              </w:rPr>
            </w:pPr>
          </w:p>
        </w:tc>
        <w:tc>
          <w:tcPr>
            <w:tcW w:w="760" w:type="dxa"/>
            <w:vAlign w:val="bottom"/>
            <w:tcBorders>
              <w:bottom w:val="single" w:sz="8" w:color="949599"/>
            </w:tcBorders>
          </w:tcPr>
          <w:p>
            <w:pPr>
              <w:jc w:val="center"/>
              <w:ind w:right="9"/>
              <w:spacing w:after="0"/>
              <w:rPr>
                <w:sz w:val="20"/>
                <w:szCs w:val="20"/>
                <w:color w:val="auto"/>
              </w:rPr>
            </w:pPr>
            <w:r>
              <w:rPr>
                <w:rFonts w:ascii="Arial" w:cs="Arial" w:eastAsia="Arial" w:hAnsi="Arial"/>
                <w:sz w:val="14"/>
                <w:szCs w:val="14"/>
                <w:color w:val="auto"/>
              </w:rPr>
              <w:t>0</w:t>
            </w:r>
          </w:p>
        </w:tc>
        <w:tc>
          <w:tcPr>
            <w:tcW w:w="76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495,000</w:t>
            </w:r>
          </w:p>
        </w:tc>
        <w:tc>
          <w:tcPr>
            <w:tcW w:w="72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1,138,500</w:t>
            </w:r>
          </w:p>
        </w:tc>
        <w:tc>
          <w:tcPr>
            <w:tcW w:w="100" w:type="dxa"/>
            <w:vAlign w:val="bottom"/>
            <w:tcBorders>
              <w:bottom w:val="single" w:sz="8" w:color="949599"/>
            </w:tcBorders>
          </w:tcPr>
          <w:p>
            <w:pPr>
              <w:spacing w:after="0"/>
              <w:rPr>
                <w:sz w:val="17"/>
                <w:szCs w:val="17"/>
                <w:color w:val="auto"/>
              </w:rPr>
            </w:pPr>
          </w:p>
        </w:tc>
        <w:tc>
          <w:tcPr>
            <w:tcW w:w="860" w:type="dxa"/>
            <w:vAlign w:val="bottom"/>
            <w:tcBorders>
              <w:bottom w:val="single" w:sz="8" w:color="949599"/>
            </w:tcBorders>
          </w:tcPr>
          <w:p>
            <w:pPr>
              <w:spacing w:after="0"/>
              <w:rPr>
                <w:sz w:val="17"/>
                <w:szCs w:val="17"/>
                <w:color w:val="auto"/>
              </w:rPr>
            </w:pPr>
          </w:p>
        </w:tc>
        <w:tc>
          <w:tcPr>
            <w:tcW w:w="860" w:type="dxa"/>
            <w:vAlign w:val="bottom"/>
            <w:tcBorders>
              <w:bottom w:val="single" w:sz="8" w:color="949599"/>
            </w:tcBorders>
          </w:tcPr>
          <w:p>
            <w:pPr>
              <w:spacing w:after="0"/>
              <w:rPr>
                <w:sz w:val="17"/>
                <w:szCs w:val="17"/>
                <w:color w:val="auto"/>
              </w:rPr>
            </w:pPr>
          </w:p>
        </w:tc>
        <w:tc>
          <w:tcPr>
            <w:tcW w:w="520" w:type="dxa"/>
            <w:vAlign w:val="bottom"/>
            <w:tcBorders>
              <w:bottom w:val="single" w:sz="8" w:color="949599"/>
            </w:tcBorders>
          </w:tcPr>
          <w:p>
            <w:pPr>
              <w:spacing w:after="0"/>
              <w:rPr>
                <w:sz w:val="17"/>
                <w:szCs w:val="17"/>
                <w:color w:val="auto"/>
              </w:rPr>
            </w:pPr>
          </w:p>
        </w:tc>
        <w:tc>
          <w:tcPr>
            <w:tcW w:w="140" w:type="dxa"/>
            <w:vAlign w:val="bottom"/>
            <w:tcBorders>
              <w:bottom w:val="single" w:sz="8" w:color="949599"/>
            </w:tcBorders>
          </w:tcPr>
          <w:p>
            <w:pPr>
              <w:spacing w:after="0"/>
              <w:rPr>
                <w:sz w:val="17"/>
                <w:szCs w:val="17"/>
                <w:color w:val="auto"/>
              </w:rPr>
            </w:pPr>
          </w:p>
        </w:tc>
        <w:tc>
          <w:tcPr>
            <w:tcW w:w="1020" w:type="dxa"/>
            <w:vAlign w:val="bottom"/>
            <w:tcBorders>
              <w:bottom w:val="single" w:sz="8" w:color="949599"/>
            </w:tcBorders>
          </w:tcPr>
          <w:p>
            <w:pPr>
              <w:spacing w:after="0"/>
              <w:rPr>
                <w:sz w:val="17"/>
                <w:szCs w:val="17"/>
                <w:color w:val="auto"/>
              </w:rPr>
            </w:pPr>
          </w:p>
        </w:tc>
        <w:tc>
          <w:tcPr>
            <w:tcW w:w="940" w:type="dxa"/>
            <w:vAlign w:val="bottom"/>
            <w:tcBorders>
              <w:bottom w:val="single" w:sz="8" w:color="949599"/>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20" w:type="dxa"/>
            <w:vAlign w:val="bottom"/>
          </w:tcPr>
          <w:p>
            <w:pPr>
              <w:spacing w:after="0"/>
              <w:rPr>
                <w:sz w:val="17"/>
                <w:szCs w:val="17"/>
                <w:color w:val="auto"/>
              </w:rPr>
            </w:pPr>
          </w:p>
        </w:tc>
        <w:tc>
          <w:tcPr>
            <w:tcW w:w="1640" w:type="dxa"/>
            <w:vAlign w:val="bottom"/>
            <w:tcBorders>
              <w:bottom w:val="single" w:sz="8" w:color="949599"/>
            </w:tcBorders>
          </w:tcPr>
          <w:p>
            <w:pPr>
              <w:spacing w:after="0"/>
              <w:rPr>
                <w:sz w:val="20"/>
                <w:szCs w:val="20"/>
                <w:color w:val="auto"/>
              </w:rPr>
            </w:pPr>
            <w:r>
              <w:rPr>
                <w:rFonts w:ascii="Arial" w:cs="Arial" w:eastAsia="Arial" w:hAnsi="Arial"/>
                <w:sz w:val="14"/>
                <w:szCs w:val="14"/>
                <w:color w:val="auto"/>
              </w:rPr>
              <w:t>Performance Shares</w:t>
            </w:r>
          </w:p>
        </w:tc>
        <w:tc>
          <w:tcPr>
            <w:tcW w:w="1100" w:type="dxa"/>
            <w:vAlign w:val="bottom"/>
            <w:tcBorders>
              <w:bottom w:val="single" w:sz="8" w:color="949599"/>
            </w:tcBorders>
          </w:tcPr>
          <w:p>
            <w:pPr>
              <w:jc w:val="right"/>
              <w:ind w:right="29"/>
              <w:spacing w:after="0"/>
              <w:rPr>
                <w:sz w:val="20"/>
                <w:szCs w:val="20"/>
                <w:color w:val="auto"/>
              </w:rPr>
            </w:pPr>
            <w:r>
              <w:rPr>
                <w:rFonts w:ascii="Arial" w:cs="Arial" w:eastAsia="Arial" w:hAnsi="Arial"/>
                <w:sz w:val="14"/>
                <w:szCs w:val="14"/>
                <w:color w:val="auto"/>
              </w:rPr>
              <w:t>12/1/2020</w:t>
            </w:r>
          </w:p>
        </w:tc>
        <w:tc>
          <w:tcPr>
            <w:tcW w:w="760" w:type="dxa"/>
            <w:vAlign w:val="bottom"/>
            <w:tcBorders>
              <w:bottom w:val="single" w:sz="8" w:color="949599"/>
            </w:tcBorders>
          </w:tcPr>
          <w:p>
            <w:pPr>
              <w:spacing w:after="0"/>
              <w:rPr>
                <w:sz w:val="17"/>
                <w:szCs w:val="17"/>
                <w:color w:val="auto"/>
              </w:rPr>
            </w:pPr>
          </w:p>
        </w:tc>
        <w:tc>
          <w:tcPr>
            <w:tcW w:w="760" w:type="dxa"/>
            <w:vAlign w:val="bottom"/>
            <w:tcBorders>
              <w:bottom w:val="single" w:sz="8" w:color="949599"/>
            </w:tcBorders>
          </w:tcPr>
          <w:p>
            <w:pPr>
              <w:spacing w:after="0"/>
              <w:rPr>
                <w:sz w:val="17"/>
                <w:szCs w:val="17"/>
                <w:color w:val="auto"/>
              </w:rPr>
            </w:pPr>
          </w:p>
        </w:tc>
        <w:tc>
          <w:tcPr>
            <w:tcW w:w="720" w:type="dxa"/>
            <w:vAlign w:val="bottom"/>
            <w:tcBorders>
              <w:bottom w:val="single" w:sz="8" w:color="949599"/>
            </w:tcBorders>
          </w:tcPr>
          <w:p>
            <w:pPr>
              <w:spacing w:after="0"/>
              <w:rPr>
                <w:sz w:val="17"/>
                <w:szCs w:val="17"/>
                <w:color w:val="auto"/>
              </w:rPr>
            </w:pPr>
          </w:p>
        </w:tc>
        <w:tc>
          <w:tcPr>
            <w:tcW w:w="100" w:type="dxa"/>
            <w:vAlign w:val="bottom"/>
            <w:tcBorders>
              <w:bottom w:val="single" w:sz="8" w:color="949599"/>
            </w:tcBorders>
          </w:tcPr>
          <w:p>
            <w:pPr>
              <w:spacing w:after="0"/>
              <w:rPr>
                <w:sz w:val="17"/>
                <w:szCs w:val="17"/>
                <w:color w:val="auto"/>
              </w:rPr>
            </w:pPr>
          </w:p>
        </w:tc>
        <w:tc>
          <w:tcPr>
            <w:tcW w:w="860" w:type="dxa"/>
            <w:vAlign w:val="bottom"/>
            <w:tcBorders>
              <w:bottom w:val="single" w:sz="8" w:color="949599"/>
            </w:tcBorders>
          </w:tcPr>
          <w:p>
            <w:pPr>
              <w:jc w:val="center"/>
              <w:ind w:right="109"/>
              <w:spacing w:after="0"/>
              <w:rPr>
                <w:sz w:val="20"/>
                <w:szCs w:val="20"/>
                <w:color w:val="auto"/>
              </w:rPr>
            </w:pPr>
            <w:r>
              <w:rPr>
                <w:rFonts w:ascii="Arial" w:cs="Arial" w:eastAsia="Arial" w:hAnsi="Arial"/>
                <w:sz w:val="14"/>
                <w:szCs w:val="14"/>
                <w:color w:val="auto"/>
              </w:rPr>
              <w:t>0</w:t>
            </w:r>
          </w:p>
        </w:tc>
        <w:tc>
          <w:tcPr>
            <w:tcW w:w="860" w:type="dxa"/>
            <w:vAlign w:val="bottom"/>
            <w:tcBorders>
              <w:bottom w:val="single" w:sz="8" w:color="949599"/>
            </w:tcBorders>
          </w:tcPr>
          <w:p>
            <w:pPr>
              <w:jc w:val="right"/>
              <w:ind w:right="189"/>
              <w:spacing w:after="0"/>
              <w:rPr>
                <w:sz w:val="20"/>
                <w:szCs w:val="20"/>
                <w:color w:val="auto"/>
              </w:rPr>
            </w:pPr>
            <w:r>
              <w:rPr>
                <w:rFonts w:ascii="Arial" w:cs="Arial" w:eastAsia="Arial" w:hAnsi="Arial"/>
                <w:sz w:val="14"/>
                <w:szCs w:val="14"/>
                <w:color w:val="auto"/>
              </w:rPr>
              <w:t>3,069</w:t>
            </w:r>
          </w:p>
        </w:tc>
        <w:tc>
          <w:tcPr>
            <w:tcW w:w="660" w:type="dxa"/>
            <w:vAlign w:val="bottom"/>
            <w:tcBorders>
              <w:bottom w:val="single" w:sz="8" w:color="949599"/>
            </w:tcBorders>
            <w:gridSpan w:val="2"/>
          </w:tcPr>
          <w:p>
            <w:pPr>
              <w:jc w:val="right"/>
              <w:ind w:right="140"/>
              <w:spacing w:after="0"/>
              <w:rPr>
                <w:sz w:val="20"/>
                <w:szCs w:val="20"/>
                <w:color w:val="auto"/>
              </w:rPr>
            </w:pPr>
            <w:r>
              <w:rPr>
                <w:rFonts w:ascii="Arial" w:cs="Arial" w:eastAsia="Arial" w:hAnsi="Arial"/>
                <w:sz w:val="14"/>
                <w:szCs w:val="14"/>
                <w:color w:val="auto"/>
              </w:rPr>
              <w:t>6,598</w:t>
            </w:r>
          </w:p>
        </w:tc>
        <w:tc>
          <w:tcPr>
            <w:tcW w:w="1020" w:type="dxa"/>
            <w:vAlign w:val="bottom"/>
            <w:tcBorders>
              <w:bottom w:val="single" w:sz="8" w:color="949599"/>
            </w:tcBorders>
          </w:tcPr>
          <w:p>
            <w:pPr>
              <w:spacing w:after="0"/>
              <w:rPr>
                <w:sz w:val="17"/>
                <w:szCs w:val="17"/>
                <w:color w:val="auto"/>
              </w:rPr>
            </w:pPr>
          </w:p>
        </w:tc>
        <w:tc>
          <w:tcPr>
            <w:tcW w:w="940" w:type="dxa"/>
            <w:vAlign w:val="bottom"/>
            <w:tcBorders>
              <w:bottom w:val="single" w:sz="8" w:color="949599"/>
            </w:tcBorders>
          </w:tcPr>
          <w:p>
            <w:pPr>
              <w:jc w:val="right"/>
              <w:ind w:right="29"/>
              <w:spacing w:after="0"/>
              <w:rPr>
                <w:sz w:val="20"/>
                <w:szCs w:val="20"/>
                <w:color w:val="auto"/>
              </w:rPr>
            </w:pPr>
            <w:r>
              <w:rPr>
                <w:rFonts w:ascii="Arial" w:cs="Arial" w:eastAsia="Arial" w:hAnsi="Arial"/>
                <w:sz w:val="14"/>
                <w:szCs w:val="14"/>
                <w:color w:val="auto"/>
              </w:rPr>
              <w:t>722,688</w:t>
            </w:r>
          </w:p>
        </w:tc>
        <w:tc>
          <w:tcPr>
            <w:tcW w:w="0" w:type="dxa"/>
            <w:vAlign w:val="bottom"/>
          </w:tcPr>
          <w:p>
            <w:pPr>
              <w:spacing w:after="0"/>
              <w:rPr>
                <w:sz w:val="1"/>
                <w:szCs w:val="1"/>
                <w:color w:val="auto"/>
              </w:rPr>
            </w:pPr>
          </w:p>
        </w:tc>
      </w:tr>
      <w:tr>
        <w:trPr>
          <w:trHeight w:val="206"/>
        </w:trPr>
        <w:tc>
          <w:tcPr>
            <w:tcW w:w="1820" w:type="dxa"/>
            <w:vAlign w:val="bottom"/>
            <w:tcBorders>
              <w:bottom w:val="single" w:sz="8" w:color="949599"/>
            </w:tcBorders>
          </w:tcPr>
          <w:p>
            <w:pPr>
              <w:spacing w:after="0"/>
              <w:rPr>
                <w:sz w:val="17"/>
                <w:szCs w:val="17"/>
                <w:color w:val="auto"/>
              </w:rPr>
            </w:pPr>
          </w:p>
        </w:tc>
        <w:tc>
          <w:tcPr>
            <w:tcW w:w="1640" w:type="dxa"/>
            <w:vAlign w:val="bottom"/>
            <w:tcBorders>
              <w:bottom w:val="single" w:sz="8" w:color="949599"/>
            </w:tcBorders>
          </w:tcPr>
          <w:p>
            <w:pPr>
              <w:spacing w:after="0"/>
              <w:rPr>
                <w:sz w:val="20"/>
                <w:szCs w:val="20"/>
                <w:color w:val="auto"/>
              </w:rPr>
            </w:pPr>
            <w:r>
              <w:rPr>
                <w:rFonts w:ascii="Arial" w:cs="Arial" w:eastAsia="Arial" w:hAnsi="Arial"/>
                <w:sz w:val="14"/>
                <w:szCs w:val="14"/>
                <w:color w:val="auto"/>
              </w:rPr>
              <w:t>Restricted Stock Units</w:t>
            </w:r>
          </w:p>
        </w:tc>
        <w:tc>
          <w:tcPr>
            <w:tcW w:w="1100" w:type="dxa"/>
            <w:vAlign w:val="bottom"/>
            <w:tcBorders>
              <w:bottom w:val="single" w:sz="8" w:color="949599"/>
            </w:tcBorders>
          </w:tcPr>
          <w:p>
            <w:pPr>
              <w:jc w:val="right"/>
              <w:ind w:right="29"/>
              <w:spacing w:after="0"/>
              <w:rPr>
                <w:sz w:val="20"/>
                <w:szCs w:val="20"/>
                <w:color w:val="auto"/>
              </w:rPr>
            </w:pPr>
            <w:r>
              <w:rPr>
                <w:rFonts w:ascii="Arial" w:cs="Arial" w:eastAsia="Arial" w:hAnsi="Arial"/>
                <w:sz w:val="14"/>
                <w:szCs w:val="14"/>
                <w:color w:val="auto"/>
              </w:rPr>
              <w:t>12/1/2020</w:t>
            </w:r>
          </w:p>
        </w:tc>
        <w:tc>
          <w:tcPr>
            <w:tcW w:w="760" w:type="dxa"/>
            <w:vAlign w:val="bottom"/>
            <w:tcBorders>
              <w:bottom w:val="single" w:sz="8" w:color="949599"/>
            </w:tcBorders>
          </w:tcPr>
          <w:p>
            <w:pPr>
              <w:spacing w:after="0"/>
              <w:rPr>
                <w:sz w:val="17"/>
                <w:szCs w:val="17"/>
                <w:color w:val="auto"/>
              </w:rPr>
            </w:pPr>
          </w:p>
        </w:tc>
        <w:tc>
          <w:tcPr>
            <w:tcW w:w="760" w:type="dxa"/>
            <w:vAlign w:val="bottom"/>
            <w:tcBorders>
              <w:bottom w:val="single" w:sz="8" w:color="949599"/>
            </w:tcBorders>
          </w:tcPr>
          <w:p>
            <w:pPr>
              <w:spacing w:after="0"/>
              <w:rPr>
                <w:sz w:val="17"/>
                <w:szCs w:val="17"/>
                <w:color w:val="auto"/>
              </w:rPr>
            </w:pPr>
          </w:p>
        </w:tc>
        <w:tc>
          <w:tcPr>
            <w:tcW w:w="720" w:type="dxa"/>
            <w:vAlign w:val="bottom"/>
            <w:tcBorders>
              <w:bottom w:val="single" w:sz="8" w:color="949599"/>
            </w:tcBorders>
          </w:tcPr>
          <w:p>
            <w:pPr>
              <w:spacing w:after="0"/>
              <w:rPr>
                <w:sz w:val="17"/>
                <w:szCs w:val="17"/>
                <w:color w:val="auto"/>
              </w:rPr>
            </w:pPr>
          </w:p>
        </w:tc>
        <w:tc>
          <w:tcPr>
            <w:tcW w:w="100" w:type="dxa"/>
            <w:vAlign w:val="bottom"/>
            <w:tcBorders>
              <w:bottom w:val="single" w:sz="8" w:color="949599"/>
            </w:tcBorders>
          </w:tcPr>
          <w:p>
            <w:pPr>
              <w:spacing w:after="0"/>
              <w:rPr>
                <w:sz w:val="17"/>
                <w:szCs w:val="17"/>
                <w:color w:val="auto"/>
              </w:rPr>
            </w:pPr>
          </w:p>
        </w:tc>
        <w:tc>
          <w:tcPr>
            <w:tcW w:w="860" w:type="dxa"/>
            <w:vAlign w:val="bottom"/>
            <w:tcBorders>
              <w:bottom w:val="single" w:sz="8" w:color="949599"/>
            </w:tcBorders>
          </w:tcPr>
          <w:p>
            <w:pPr>
              <w:spacing w:after="0"/>
              <w:rPr>
                <w:sz w:val="17"/>
                <w:szCs w:val="17"/>
                <w:color w:val="auto"/>
              </w:rPr>
            </w:pPr>
          </w:p>
        </w:tc>
        <w:tc>
          <w:tcPr>
            <w:tcW w:w="860" w:type="dxa"/>
            <w:vAlign w:val="bottom"/>
            <w:tcBorders>
              <w:bottom w:val="single" w:sz="8" w:color="949599"/>
            </w:tcBorders>
          </w:tcPr>
          <w:p>
            <w:pPr>
              <w:spacing w:after="0"/>
              <w:rPr>
                <w:sz w:val="17"/>
                <w:szCs w:val="17"/>
                <w:color w:val="auto"/>
              </w:rPr>
            </w:pPr>
          </w:p>
        </w:tc>
        <w:tc>
          <w:tcPr>
            <w:tcW w:w="520" w:type="dxa"/>
            <w:vAlign w:val="bottom"/>
            <w:tcBorders>
              <w:bottom w:val="single" w:sz="8" w:color="949599"/>
            </w:tcBorders>
          </w:tcPr>
          <w:p>
            <w:pPr>
              <w:spacing w:after="0"/>
              <w:rPr>
                <w:sz w:val="17"/>
                <w:szCs w:val="17"/>
                <w:color w:val="auto"/>
              </w:rPr>
            </w:pPr>
          </w:p>
        </w:tc>
        <w:tc>
          <w:tcPr>
            <w:tcW w:w="140" w:type="dxa"/>
            <w:vAlign w:val="bottom"/>
            <w:tcBorders>
              <w:bottom w:val="single" w:sz="8" w:color="949599"/>
            </w:tcBorders>
          </w:tcPr>
          <w:p>
            <w:pPr>
              <w:spacing w:after="0"/>
              <w:rPr>
                <w:sz w:val="17"/>
                <w:szCs w:val="17"/>
                <w:color w:val="auto"/>
              </w:rPr>
            </w:pPr>
          </w:p>
        </w:tc>
        <w:tc>
          <w:tcPr>
            <w:tcW w:w="1020" w:type="dxa"/>
            <w:vAlign w:val="bottom"/>
            <w:tcBorders>
              <w:bottom w:val="single" w:sz="8" w:color="949599"/>
            </w:tcBorders>
          </w:tcPr>
          <w:p>
            <w:pPr>
              <w:jc w:val="right"/>
              <w:ind w:right="89"/>
              <w:spacing w:after="0"/>
              <w:rPr>
                <w:sz w:val="20"/>
                <w:szCs w:val="20"/>
                <w:color w:val="auto"/>
              </w:rPr>
            </w:pPr>
            <w:r>
              <w:rPr>
                <w:rFonts w:ascii="Arial" w:cs="Arial" w:eastAsia="Arial" w:hAnsi="Arial"/>
                <w:sz w:val="14"/>
                <w:szCs w:val="14"/>
                <w:color w:val="auto"/>
              </w:rPr>
              <w:t>2,046</w:t>
            </w:r>
          </w:p>
        </w:tc>
        <w:tc>
          <w:tcPr>
            <w:tcW w:w="940" w:type="dxa"/>
            <w:vAlign w:val="bottom"/>
            <w:tcBorders>
              <w:bottom w:val="single" w:sz="8" w:color="949599"/>
            </w:tcBorders>
          </w:tcPr>
          <w:p>
            <w:pPr>
              <w:jc w:val="right"/>
              <w:ind w:right="29"/>
              <w:spacing w:after="0"/>
              <w:rPr>
                <w:sz w:val="20"/>
                <w:szCs w:val="20"/>
                <w:color w:val="auto"/>
              </w:rPr>
            </w:pPr>
            <w:r>
              <w:rPr>
                <w:rFonts w:ascii="Arial" w:cs="Arial" w:eastAsia="Arial" w:hAnsi="Arial"/>
                <w:sz w:val="14"/>
                <w:szCs w:val="14"/>
                <w:color w:val="auto"/>
              </w:rPr>
              <w:t>579,386</w:t>
            </w:r>
          </w:p>
        </w:tc>
        <w:tc>
          <w:tcPr>
            <w:tcW w:w="0" w:type="dxa"/>
            <w:vAlign w:val="bottom"/>
          </w:tcPr>
          <w:p>
            <w:pPr>
              <w:spacing w:after="0"/>
              <w:rPr>
                <w:sz w:val="1"/>
                <w:szCs w:val="1"/>
                <w:color w:val="auto"/>
              </w:rPr>
            </w:pPr>
          </w:p>
        </w:tc>
      </w:tr>
      <w:tr>
        <w:trPr>
          <w:trHeight w:val="206"/>
        </w:trPr>
        <w:tc>
          <w:tcPr>
            <w:tcW w:w="1820" w:type="dxa"/>
            <w:vAlign w:val="bottom"/>
          </w:tcPr>
          <w:p>
            <w:pPr>
              <w:ind w:left="80"/>
              <w:spacing w:after="0"/>
              <w:rPr>
                <w:sz w:val="20"/>
                <w:szCs w:val="20"/>
                <w:color w:val="auto"/>
              </w:rPr>
            </w:pPr>
            <w:r>
              <w:rPr>
                <w:rFonts w:ascii="Arial" w:cs="Arial" w:eastAsia="Arial" w:hAnsi="Arial"/>
                <w:sz w:val="14"/>
                <w:szCs w:val="14"/>
                <w:b w:val="1"/>
                <w:bCs w:val="1"/>
                <w:color w:val="009A4B"/>
              </w:rPr>
              <w:t>Samir J. Serhan</w:t>
            </w:r>
          </w:p>
        </w:tc>
        <w:tc>
          <w:tcPr>
            <w:tcW w:w="1640" w:type="dxa"/>
            <w:vAlign w:val="bottom"/>
            <w:tcBorders>
              <w:bottom w:val="single" w:sz="8" w:color="949599"/>
            </w:tcBorders>
          </w:tcPr>
          <w:p>
            <w:pPr>
              <w:spacing w:after="0"/>
              <w:rPr>
                <w:sz w:val="20"/>
                <w:szCs w:val="20"/>
                <w:color w:val="auto"/>
              </w:rPr>
            </w:pPr>
            <w:r>
              <w:rPr>
                <w:rFonts w:ascii="Arial" w:cs="Arial" w:eastAsia="Arial" w:hAnsi="Arial"/>
                <w:sz w:val="14"/>
                <w:szCs w:val="14"/>
                <w:color w:val="auto"/>
              </w:rPr>
              <w:t>Annual Incentive Plan</w:t>
            </w:r>
          </w:p>
        </w:tc>
        <w:tc>
          <w:tcPr>
            <w:tcW w:w="1100" w:type="dxa"/>
            <w:vAlign w:val="bottom"/>
            <w:tcBorders>
              <w:bottom w:val="single" w:sz="8" w:color="949599"/>
            </w:tcBorders>
          </w:tcPr>
          <w:p>
            <w:pPr>
              <w:spacing w:after="0"/>
              <w:rPr>
                <w:sz w:val="17"/>
                <w:szCs w:val="17"/>
                <w:color w:val="auto"/>
              </w:rPr>
            </w:pPr>
          </w:p>
        </w:tc>
        <w:tc>
          <w:tcPr>
            <w:tcW w:w="760" w:type="dxa"/>
            <w:vAlign w:val="bottom"/>
            <w:tcBorders>
              <w:bottom w:val="single" w:sz="8" w:color="949599"/>
            </w:tcBorders>
          </w:tcPr>
          <w:p>
            <w:pPr>
              <w:jc w:val="center"/>
              <w:ind w:right="9"/>
              <w:spacing w:after="0"/>
              <w:rPr>
                <w:sz w:val="20"/>
                <w:szCs w:val="20"/>
                <w:color w:val="auto"/>
              </w:rPr>
            </w:pPr>
            <w:r>
              <w:rPr>
                <w:rFonts w:ascii="Arial" w:cs="Arial" w:eastAsia="Arial" w:hAnsi="Arial"/>
                <w:sz w:val="14"/>
                <w:szCs w:val="14"/>
                <w:color w:val="auto"/>
              </w:rPr>
              <w:t>0</w:t>
            </w:r>
          </w:p>
        </w:tc>
        <w:tc>
          <w:tcPr>
            <w:tcW w:w="76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630,000</w:t>
            </w:r>
          </w:p>
        </w:tc>
        <w:tc>
          <w:tcPr>
            <w:tcW w:w="72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1,449,000</w:t>
            </w:r>
          </w:p>
        </w:tc>
        <w:tc>
          <w:tcPr>
            <w:tcW w:w="100" w:type="dxa"/>
            <w:vAlign w:val="bottom"/>
            <w:tcBorders>
              <w:bottom w:val="single" w:sz="8" w:color="949599"/>
            </w:tcBorders>
          </w:tcPr>
          <w:p>
            <w:pPr>
              <w:spacing w:after="0"/>
              <w:rPr>
                <w:sz w:val="17"/>
                <w:szCs w:val="17"/>
                <w:color w:val="auto"/>
              </w:rPr>
            </w:pPr>
          </w:p>
        </w:tc>
        <w:tc>
          <w:tcPr>
            <w:tcW w:w="860" w:type="dxa"/>
            <w:vAlign w:val="bottom"/>
            <w:tcBorders>
              <w:bottom w:val="single" w:sz="8" w:color="949599"/>
            </w:tcBorders>
          </w:tcPr>
          <w:p>
            <w:pPr>
              <w:spacing w:after="0"/>
              <w:rPr>
                <w:sz w:val="17"/>
                <w:szCs w:val="17"/>
                <w:color w:val="auto"/>
              </w:rPr>
            </w:pPr>
          </w:p>
        </w:tc>
        <w:tc>
          <w:tcPr>
            <w:tcW w:w="860" w:type="dxa"/>
            <w:vAlign w:val="bottom"/>
            <w:tcBorders>
              <w:bottom w:val="single" w:sz="8" w:color="949599"/>
            </w:tcBorders>
          </w:tcPr>
          <w:p>
            <w:pPr>
              <w:spacing w:after="0"/>
              <w:rPr>
                <w:sz w:val="17"/>
                <w:szCs w:val="17"/>
                <w:color w:val="auto"/>
              </w:rPr>
            </w:pPr>
          </w:p>
        </w:tc>
        <w:tc>
          <w:tcPr>
            <w:tcW w:w="520" w:type="dxa"/>
            <w:vAlign w:val="bottom"/>
            <w:tcBorders>
              <w:bottom w:val="single" w:sz="8" w:color="949599"/>
            </w:tcBorders>
          </w:tcPr>
          <w:p>
            <w:pPr>
              <w:spacing w:after="0"/>
              <w:rPr>
                <w:sz w:val="17"/>
                <w:szCs w:val="17"/>
                <w:color w:val="auto"/>
              </w:rPr>
            </w:pPr>
          </w:p>
        </w:tc>
        <w:tc>
          <w:tcPr>
            <w:tcW w:w="140" w:type="dxa"/>
            <w:vAlign w:val="bottom"/>
            <w:tcBorders>
              <w:bottom w:val="single" w:sz="8" w:color="949599"/>
            </w:tcBorders>
          </w:tcPr>
          <w:p>
            <w:pPr>
              <w:spacing w:after="0"/>
              <w:rPr>
                <w:sz w:val="17"/>
                <w:szCs w:val="17"/>
                <w:color w:val="auto"/>
              </w:rPr>
            </w:pPr>
          </w:p>
        </w:tc>
        <w:tc>
          <w:tcPr>
            <w:tcW w:w="1020" w:type="dxa"/>
            <w:vAlign w:val="bottom"/>
            <w:tcBorders>
              <w:bottom w:val="single" w:sz="8" w:color="949599"/>
            </w:tcBorders>
          </w:tcPr>
          <w:p>
            <w:pPr>
              <w:spacing w:after="0"/>
              <w:rPr>
                <w:sz w:val="17"/>
                <w:szCs w:val="17"/>
                <w:color w:val="auto"/>
              </w:rPr>
            </w:pPr>
          </w:p>
        </w:tc>
        <w:tc>
          <w:tcPr>
            <w:tcW w:w="940" w:type="dxa"/>
            <w:vAlign w:val="bottom"/>
            <w:tcBorders>
              <w:bottom w:val="single" w:sz="8" w:color="949599"/>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20" w:type="dxa"/>
            <w:vAlign w:val="bottom"/>
          </w:tcPr>
          <w:p>
            <w:pPr>
              <w:spacing w:after="0"/>
              <w:rPr>
                <w:sz w:val="17"/>
                <w:szCs w:val="17"/>
                <w:color w:val="auto"/>
              </w:rPr>
            </w:pPr>
          </w:p>
        </w:tc>
        <w:tc>
          <w:tcPr>
            <w:tcW w:w="1640" w:type="dxa"/>
            <w:vAlign w:val="bottom"/>
            <w:tcBorders>
              <w:bottom w:val="single" w:sz="8" w:color="949599"/>
            </w:tcBorders>
          </w:tcPr>
          <w:p>
            <w:pPr>
              <w:spacing w:after="0"/>
              <w:rPr>
                <w:sz w:val="20"/>
                <w:szCs w:val="20"/>
                <w:color w:val="auto"/>
              </w:rPr>
            </w:pPr>
            <w:r>
              <w:rPr>
                <w:rFonts w:ascii="Arial" w:cs="Arial" w:eastAsia="Arial" w:hAnsi="Arial"/>
                <w:sz w:val="14"/>
                <w:szCs w:val="14"/>
                <w:color w:val="auto"/>
              </w:rPr>
              <w:t>Performance Shares</w:t>
            </w:r>
          </w:p>
        </w:tc>
        <w:tc>
          <w:tcPr>
            <w:tcW w:w="1100" w:type="dxa"/>
            <w:vAlign w:val="bottom"/>
            <w:tcBorders>
              <w:bottom w:val="single" w:sz="8" w:color="949599"/>
            </w:tcBorders>
          </w:tcPr>
          <w:p>
            <w:pPr>
              <w:jc w:val="right"/>
              <w:ind w:right="29"/>
              <w:spacing w:after="0"/>
              <w:rPr>
                <w:sz w:val="20"/>
                <w:szCs w:val="20"/>
                <w:color w:val="auto"/>
              </w:rPr>
            </w:pPr>
            <w:r>
              <w:rPr>
                <w:rFonts w:ascii="Arial" w:cs="Arial" w:eastAsia="Arial" w:hAnsi="Arial"/>
                <w:sz w:val="14"/>
                <w:szCs w:val="14"/>
                <w:color w:val="auto"/>
              </w:rPr>
              <w:t>12/1/2020</w:t>
            </w:r>
          </w:p>
        </w:tc>
        <w:tc>
          <w:tcPr>
            <w:tcW w:w="760" w:type="dxa"/>
            <w:vAlign w:val="bottom"/>
            <w:tcBorders>
              <w:bottom w:val="single" w:sz="8" w:color="949599"/>
            </w:tcBorders>
          </w:tcPr>
          <w:p>
            <w:pPr>
              <w:spacing w:after="0"/>
              <w:rPr>
                <w:sz w:val="17"/>
                <w:szCs w:val="17"/>
                <w:color w:val="auto"/>
              </w:rPr>
            </w:pPr>
          </w:p>
        </w:tc>
        <w:tc>
          <w:tcPr>
            <w:tcW w:w="760" w:type="dxa"/>
            <w:vAlign w:val="bottom"/>
            <w:tcBorders>
              <w:bottom w:val="single" w:sz="8" w:color="949599"/>
            </w:tcBorders>
          </w:tcPr>
          <w:p>
            <w:pPr>
              <w:spacing w:after="0"/>
              <w:rPr>
                <w:sz w:val="17"/>
                <w:szCs w:val="17"/>
                <w:color w:val="auto"/>
              </w:rPr>
            </w:pPr>
          </w:p>
        </w:tc>
        <w:tc>
          <w:tcPr>
            <w:tcW w:w="720" w:type="dxa"/>
            <w:vAlign w:val="bottom"/>
            <w:tcBorders>
              <w:bottom w:val="single" w:sz="8" w:color="949599"/>
            </w:tcBorders>
          </w:tcPr>
          <w:p>
            <w:pPr>
              <w:spacing w:after="0"/>
              <w:rPr>
                <w:sz w:val="17"/>
                <w:szCs w:val="17"/>
                <w:color w:val="auto"/>
              </w:rPr>
            </w:pPr>
          </w:p>
        </w:tc>
        <w:tc>
          <w:tcPr>
            <w:tcW w:w="100" w:type="dxa"/>
            <w:vAlign w:val="bottom"/>
            <w:tcBorders>
              <w:bottom w:val="single" w:sz="8" w:color="949599"/>
            </w:tcBorders>
          </w:tcPr>
          <w:p>
            <w:pPr>
              <w:spacing w:after="0"/>
              <w:rPr>
                <w:sz w:val="17"/>
                <w:szCs w:val="17"/>
                <w:color w:val="auto"/>
              </w:rPr>
            </w:pPr>
          </w:p>
        </w:tc>
        <w:tc>
          <w:tcPr>
            <w:tcW w:w="860" w:type="dxa"/>
            <w:vAlign w:val="bottom"/>
            <w:tcBorders>
              <w:bottom w:val="single" w:sz="8" w:color="949599"/>
            </w:tcBorders>
          </w:tcPr>
          <w:p>
            <w:pPr>
              <w:jc w:val="center"/>
              <w:ind w:right="109"/>
              <w:spacing w:after="0"/>
              <w:rPr>
                <w:sz w:val="20"/>
                <w:szCs w:val="20"/>
                <w:color w:val="auto"/>
              </w:rPr>
            </w:pPr>
            <w:r>
              <w:rPr>
                <w:rFonts w:ascii="Arial" w:cs="Arial" w:eastAsia="Arial" w:hAnsi="Arial"/>
                <w:sz w:val="14"/>
                <w:szCs w:val="14"/>
                <w:color w:val="auto"/>
              </w:rPr>
              <w:t>0</w:t>
            </w:r>
          </w:p>
        </w:tc>
        <w:tc>
          <w:tcPr>
            <w:tcW w:w="860" w:type="dxa"/>
            <w:vAlign w:val="bottom"/>
            <w:tcBorders>
              <w:bottom w:val="single" w:sz="8" w:color="949599"/>
            </w:tcBorders>
          </w:tcPr>
          <w:p>
            <w:pPr>
              <w:jc w:val="right"/>
              <w:ind w:right="189"/>
              <w:spacing w:after="0"/>
              <w:rPr>
                <w:sz w:val="20"/>
                <w:szCs w:val="20"/>
                <w:color w:val="auto"/>
              </w:rPr>
            </w:pPr>
            <w:r>
              <w:rPr>
                <w:rFonts w:ascii="Arial" w:cs="Arial" w:eastAsia="Arial" w:hAnsi="Arial"/>
                <w:sz w:val="14"/>
                <w:szCs w:val="14"/>
                <w:color w:val="auto"/>
              </w:rPr>
              <w:t>4,385</w:t>
            </w:r>
          </w:p>
        </w:tc>
        <w:tc>
          <w:tcPr>
            <w:tcW w:w="660" w:type="dxa"/>
            <w:vAlign w:val="bottom"/>
            <w:tcBorders>
              <w:bottom w:val="single" w:sz="8" w:color="949599"/>
            </w:tcBorders>
            <w:gridSpan w:val="2"/>
          </w:tcPr>
          <w:p>
            <w:pPr>
              <w:jc w:val="right"/>
              <w:ind w:right="140"/>
              <w:spacing w:after="0"/>
              <w:rPr>
                <w:sz w:val="20"/>
                <w:szCs w:val="20"/>
                <w:color w:val="auto"/>
              </w:rPr>
            </w:pPr>
            <w:r>
              <w:rPr>
                <w:rFonts w:ascii="Arial" w:cs="Arial" w:eastAsia="Arial" w:hAnsi="Arial"/>
                <w:sz w:val="14"/>
                <w:szCs w:val="14"/>
                <w:color w:val="auto"/>
              </w:rPr>
              <w:t>9,428</w:t>
            </w:r>
          </w:p>
        </w:tc>
        <w:tc>
          <w:tcPr>
            <w:tcW w:w="1020" w:type="dxa"/>
            <w:vAlign w:val="bottom"/>
            <w:tcBorders>
              <w:bottom w:val="single" w:sz="8" w:color="949599"/>
            </w:tcBorders>
          </w:tcPr>
          <w:p>
            <w:pPr>
              <w:spacing w:after="0"/>
              <w:rPr>
                <w:sz w:val="17"/>
                <w:szCs w:val="17"/>
                <w:color w:val="auto"/>
              </w:rPr>
            </w:pPr>
          </w:p>
        </w:tc>
        <w:tc>
          <w:tcPr>
            <w:tcW w:w="940" w:type="dxa"/>
            <w:vAlign w:val="bottom"/>
            <w:tcBorders>
              <w:bottom w:val="single" w:sz="8" w:color="949599"/>
            </w:tcBorders>
          </w:tcPr>
          <w:p>
            <w:pPr>
              <w:jc w:val="right"/>
              <w:ind w:right="29"/>
              <w:spacing w:after="0"/>
              <w:rPr>
                <w:sz w:val="20"/>
                <w:szCs w:val="20"/>
                <w:color w:val="auto"/>
              </w:rPr>
            </w:pPr>
            <w:r>
              <w:rPr>
                <w:rFonts w:ascii="Arial" w:cs="Arial" w:eastAsia="Arial" w:hAnsi="Arial"/>
                <w:sz w:val="14"/>
                <w:szCs w:val="14"/>
                <w:color w:val="auto"/>
              </w:rPr>
              <w:t>1,032,580</w:t>
            </w:r>
          </w:p>
        </w:tc>
        <w:tc>
          <w:tcPr>
            <w:tcW w:w="0" w:type="dxa"/>
            <w:vAlign w:val="bottom"/>
          </w:tcPr>
          <w:p>
            <w:pPr>
              <w:spacing w:after="0"/>
              <w:rPr>
                <w:sz w:val="1"/>
                <w:szCs w:val="1"/>
                <w:color w:val="auto"/>
              </w:rPr>
            </w:pPr>
          </w:p>
        </w:tc>
      </w:tr>
      <w:tr>
        <w:trPr>
          <w:trHeight w:val="219"/>
        </w:trPr>
        <w:tc>
          <w:tcPr>
            <w:tcW w:w="18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Restricted Stock Units</w:t>
            </w: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12/1/2020</w:t>
            </w:r>
          </w:p>
        </w:tc>
        <w:tc>
          <w:tcPr>
            <w:tcW w:w="7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2,923</w:t>
            </w: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827,735</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300" w:hanging="294"/>
        <w:spacing w:after="0"/>
        <w:tabs>
          <w:tab w:leader="none" w:pos="300" w:val="left"/>
        </w:tabs>
        <w:numPr>
          <w:ilvl w:val="0"/>
          <w:numId w:val="55"/>
        </w:numPr>
        <w:rPr>
          <w:rFonts w:ascii="Arial" w:cs="Arial" w:eastAsia="Arial" w:hAnsi="Arial"/>
          <w:sz w:val="24"/>
          <w:szCs w:val="24"/>
          <w:color w:val="auto"/>
          <w:vertAlign w:val="superscript"/>
        </w:rPr>
      </w:pPr>
      <w:r>
        <w:rPr>
          <w:rFonts w:ascii="Arial" w:cs="Arial" w:eastAsia="Arial" w:hAnsi="Arial"/>
          <w:sz w:val="14"/>
          <w:szCs w:val="14"/>
          <w:color w:val="auto"/>
        </w:rPr>
        <w:t>Ms. Schaeffer was appointed as CFO effective August 10, 2021. Her non-equity incentive calculation is a blend of the different targets she had throughout the year.</w:t>
      </w:r>
    </w:p>
    <w:p>
      <w:pPr>
        <w:spacing w:after="0" w:line="95" w:lineRule="exact"/>
        <w:rPr>
          <w:rFonts w:ascii="Arial" w:cs="Arial" w:eastAsia="Arial" w:hAnsi="Arial"/>
          <w:sz w:val="24"/>
          <w:szCs w:val="24"/>
          <w:color w:val="auto"/>
          <w:vertAlign w:val="superscript"/>
        </w:rPr>
      </w:pPr>
    </w:p>
    <w:p>
      <w:pPr>
        <w:ind w:left="300" w:right="180" w:hanging="294"/>
        <w:spacing w:after="0" w:line="181" w:lineRule="auto"/>
        <w:tabs>
          <w:tab w:leader="none" w:pos="300" w:val="left"/>
        </w:tabs>
        <w:numPr>
          <w:ilvl w:val="0"/>
          <w:numId w:val="55"/>
        </w:numPr>
        <w:rPr>
          <w:rFonts w:ascii="Arial" w:cs="Arial" w:eastAsia="Arial" w:hAnsi="Arial"/>
          <w:sz w:val="24"/>
          <w:szCs w:val="24"/>
          <w:color w:val="auto"/>
          <w:vertAlign w:val="superscript"/>
        </w:rPr>
      </w:pPr>
      <w:r>
        <w:rPr>
          <w:rFonts w:ascii="Arial" w:cs="Arial" w:eastAsia="Arial" w:hAnsi="Arial"/>
          <w:sz w:val="14"/>
          <w:szCs w:val="14"/>
          <w:color w:val="auto"/>
        </w:rPr>
        <w:t>Mr. Crocco retired from the Company effective September 30, 2021. Due to retirement provisions, fiscal 2021 performance share and RSU awards were forfeited since they were not held for one year prior to retirement.</w:t>
      </w:r>
    </w:p>
    <w:p>
      <w:pPr>
        <w:spacing w:after="0" w:line="200" w:lineRule="exact"/>
        <w:rPr>
          <w:sz w:val="20"/>
          <w:szCs w:val="20"/>
          <w:color w:val="auto"/>
        </w:rPr>
      </w:pPr>
    </w:p>
    <w:p>
      <w:pPr>
        <w:ind w:right="60"/>
        <w:spacing w:after="0" w:line="268" w:lineRule="auto"/>
        <w:rPr>
          <w:sz w:val="20"/>
          <w:szCs w:val="20"/>
          <w:color w:val="auto"/>
        </w:rPr>
      </w:pPr>
      <w:r>
        <w:rPr>
          <w:rFonts w:ascii="Arial" w:cs="Arial" w:eastAsia="Arial" w:hAnsi="Arial"/>
          <w:sz w:val="15"/>
          <w:szCs w:val="15"/>
          <w:color w:val="auto"/>
        </w:rPr>
        <w:t>The Fiscal 2021 Grants of Plan-Based Awards Table reports the dollar value of cash (non-equity) incentive awards and the number and value of equity awards granted to each executive officer during fiscal 2021. With regard to cash incentives, this table reports the range of potential value that could have been obtained by the executive officer; whereas the Summary Compensation Table reports the actual value realized for fiscal 2021. Equity amounts represent the grant date values of the awards determined under FASB ASC Topic 718 for purposes of financial statement reporting, which are based on probable outcomes.</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color w:val="009A4B"/>
        </w:rPr>
        <w:t>Non-Equity Incentive Plan Awards — Annual Incentive Plan</w:t>
      </w:r>
    </w:p>
    <w:p>
      <w:pPr>
        <w:spacing w:after="0" w:line="219" w:lineRule="exact"/>
        <w:rPr>
          <w:sz w:val="20"/>
          <w:szCs w:val="20"/>
          <w:color w:val="auto"/>
        </w:rPr>
      </w:pPr>
    </w:p>
    <w:p>
      <w:pPr>
        <w:ind w:right="60"/>
        <w:spacing w:after="0" w:line="245" w:lineRule="auto"/>
        <w:rPr>
          <w:sz w:val="20"/>
          <w:szCs w:val="20"/>
          <w:color w:val="auto"/>
        </w:rPr>
      </w:pPr>
      <w:r>
        <w:rPr>
          <w:rFonts w:ascii="Arial" w:cs="Arial" w:eastAsia="Arial" w:hAnsi="Arial"/>
          <w:sz w:val="16"/>
          <w:szCs w:val="16"/>
          <w:color w:val="auto"/>
        </w:rPr>
        <w:t>Annual Incentive Plan awards are based on performance for the fiscal year. The Committee approves performance measures and payout schedules prior to or at the beginning of the fiscal year. Following the end of the fiscal year, the Committee determines the range of actual amounts that can be paid out under a formula that reflects the Company’s performance against the approved performance measures. Individual awards are determined by the Committee within the range based on individual performance. There is no minimum bonus under the terms of the Plan, so the threshold amount is shown as $0. The maximum bonus payable under this Plan is capped at $4,000,000. For more information on fiscal 2021 targets and the award determination, see pages 37-38.</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color w:val="009A4B"/>
        </w:rPr>
        <w:t>Equity Incentive Plan Awards — Performance Shares</w:t>
      </w:r>
    </w:p>
    <w:p>
      <w:pPr>
        <w:spacing w:after="0" w:line="219" w:lineRule="exact"/>
        <w:rPr>
          <w:sz w:val="20"/>
          <w:szCs w:val="20"/>
          <w:color w:val="auto"/>
        </w:rPr>
      </w:pPr>
    </w:p>
    <w:p>
      <w:pPr>
        <w:ind w:right="120"/>
        <w:spacing w:after="0" w:line="245" w:lineRule="auto"/>
        <w:rPr>
          <w:sz w:val="20"/>
          <w:szCs w:val="20"/>
          <w:color w:val="auto"/>
        </w:rPr>
      </w:pPr>
      <w:r>
        <w:rPr>
          <w:rFonts w:ascii="Arial" w:cs="Arial" w:eastAsia="Arial" w:hAnsi="Arial"/>
          <w:sz w:val="16"/>
          <w:szCs w:val="16"/>
          <w:color w:val="auto"/>
        </w:rPr>
        <w:t>The Equity Incentive Plan Awards reflected in the table are performance shares. Performance shares are deferred stock units whose payout is conditioned on the Company’s TSR percentile relative to the Peer Reference Group. Deferred stock units are an award type provided under the Company’s Long-Term Incentive Plan that entitle the holder of each unit to the value of one share of Company stock and accumulated dividend equivalents upon satisfaction of performance and/or time-based vesting conditions. Dividend equivalents are paid in cash and equal the dividends that would have accrued on a share of Company stock from the grant date of a deferred stock unit until it is paid out. Dividend equivalents are not paid until the award is vested. No dividend equivalents are paid on units that are forfeited.</w:t>
      </w:r>
    </w:p>
    <w:p>
      <w:pPr>
        <w:spacing w:after="0" w:line="136" w:lineRule="exact"/>
        <w:rPr>
          <w:sz w:val="20"/>
          <w:szCs w:val="20"/>
          <w:color w:val="auto"/>
        </w:rPr>
      </w:pPr>
    </w:p>
    <w:p>
      <w:pPr>
        <w:ind w:left="9480"/>
        <w:spacing w:after="0"/>
        <w:tabs>
          <w:tab w:leader="none" w:pos="1106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7155180" cy="20955"/>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right="80"/>
        <w:spacing w:after="0" w:line="245" w:lineRule="auto"/>
        <w:rPr>
          <w:sz w:val="20"/>
          <w:szCs w:val="20"/>
          <w:color w:val="auto"/>
        </w:rPr>
      </w:pPr>
      <w:r>
        <w:rPr>
          <w:rFonts w:ascii="Arial" w:cs="Arial" w:eastAsia="Arial" w:hAnsi="Arial"/>
          <w:sz w:val="16"/>
          <w:szCs w:val="16"/>
          <w:color w:val="auto"/>
        </w:rPr>
        <w:t>The performance shares reflected in the table have a three-year performance cycle that will be completed at the end of fiscal 2023. The number of performance shares that will be paid out is based on a schedule tied to the Company’s TSR percentile as described on page 40. Performance shares are generally forfeited if the executive officer voluntarily terminates employment during the performance period; however, if an executive officer terminates due to death, disability or retirement one year or more after the grant date, he or she will receive a pro-rata portion of any performance share payout upon completion of the performance period. Upon a termination covered by the Executive Separation Program described on pages 55-56, the terms of that Program regarding treatment of equity compensation will apply.</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009A4B"/>
        </w:rPr>
        <w:t>Other Stock Awards — RSUs</w:t>
      </w:r>
    </w:p>
    <w:p>
      <w:pPr>
        <w:spacing w:after="0" w:line="219"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The Other Stock Awards reflected in the table are RSUs, which are deferred stock units that have time-based vesting conditions. Most of the RSUs granted to the named executive officers in fiscal 2021 are subject to a four-year vesting period. If an executive officer’s employment terminates due to death, disability or retirement one year or more after the grant date, the units will vest. Pursuant to his Employment Agreement, Mr. Ghasemi’s RSUs will not be forfeited and will continue to vest if he is terminated at any time due to death or disability, voluntarily for “good reason”, by the Company without “cause” or at the conclusion of his Employment Agreement. (See page 56 for the definitions of these terms under his Employment Agreement.) If another executive officer’s employment termination is covered by the Executive Separation Program described on pages 55-56, the terms of that Program regarding treatment of equity compensation will apply.</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color w:val="009A4B"/>
        </w:rPr>
        <w:t>Outstanding Equity Awards at 2021 Fiscal Year-End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7134225" cy="17145"/>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ind w:left="260"/>
              <w:spacing w:after="0"/>
              <w:rPr>
                <w:sz w:val="20"/>
                <w:szCs w:val="20"/>
                <w:color w:val="auto"/>
              </w:rPr>
            </w:pPr>
            <w:r>
              <w:rPr>
                <w:rFonts w:ascii="Arial" w:cs="Arial" w:eastAsia="Arial" w:hAnsi="Arial"/>
                <w:sz w:val="12"/>
                <w:szCs w:val="12"/>
                <w:b w:val="1"/>
                <w:bCs w:val="1"/>
                <w:color w:val="auto"/>
              </w:rPr>
              <w:t>Option Awards</w:t>
            </w:r>
            <w:r>
              <w:rPr>
                <w:rFonts w:ascii="Arial" w:cs="Arial" w:eastAsia="Arial" w:hAnsi="Arial"/>
                <w:sz w:val="20"/>
                <w:szCs w:val="20"/>
                <w:b w:val="1"/>
                <w:bCs w:val="1"/>
                <w:color w:val="auto"/>
                <w:vertAlign w:val="superscript"/>
              </w:rPr>
              <w:t>(1)</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right"/>
              <w:ind w:right="654"/>
              <w:spacing w:after="0"/>
              <w:rPr>
                <w:sz w:val="20"/>
                <w:szCs w:val="20"/>
                <w:color w:val="auto"/>
              </w:rPr>
            </w:pPr>
            <w:r>
              <w:rPr>
                <w:rFonts w:ascii="Arial" w:cs="Arial" w:eastAsia="Arial" w:hAnsi="Arial"/>
                <w:sz w:val="12"/>
                <w:szCs w:val="12"/>
                <w:b w:val="1"/>
                <w:bCs w:val="1"/>
                <w:color w:val="auto"/>
              </w:rPr>
              <w:t>Stock Awards</w:t>
            </w:r>
          </w:p>
        </w:tc>
        <w:tc>
          <w:tcPr>
            <w:tcW w:w="1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3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jc w:val="right"/>
              <w:spacing w:after="0" w:line="113" w:lineRule="exact"/>
              <w:rPr>
                <w:sz w:val="20"/>
                <w:szCs w:val="20"/>
                <w:color w:val="auto"/>
              </w:rPr>
            </w:pPr>
            <w:r>
              <w:rPr>
                <w:rFonts w:ascii="Arial" w:cs="Arial" w:eastAsia="Arial" w:hAnsi="Arial"/>
                <w:sz w:val="12"/>
                <w:szCs w:val="12"/>
                <w:b w:val="1"/>
                <w:bCs w:val="1"/>
                <w:color w:val="auto"/>
              </w:rPr>
              <w:t>Market</w:t>
            </w:r>
          </w:p>
        </w:tc>
        <w:tc>
          <w:tcPr>
            <w:tcW w:w="1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Number of</w:t>
            </w:r>
          </w:p>
        </w:tc>
        <w:tc>
          <w:tcPr>
            <w:tcW w:w="80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Value of</w:t>
            </w:r>
          </w:p>
        </w:tc>
        <w:tc>
          <w:tcPr>
            <w:tcW w:w="116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Equity Incentive</w:t>
            </w:r>
          </w:p>
        </w:tc>
        <w:tc>
          <w:tcPr>
            <w:tcW w:w="1200" w:type="dxa"/>
            <w:vAlign w:val="bottom"/>
            <w:gridSpan w:val="2"/>
          </w:tcPr>
          <w:p>
            <w:pPr>
              <w:jc w:val="right"/>
              <w:ind w:right="60"/>
              <w:spacing w:after="0" w:line="133" w:lineRule="exact"/>
              <w:rPr>
                <w:sz w:val="20"/>
                <w:szCs w:val="20"/>
                <w:color w:val="auto"/>
              </w:rPr>
            </w:pPr>
            <w:r>
              <w:rPr>
                <w:rFonts w:ascii="Arial" w:cs="Arial" w:eastAsia="Arial" w:hAnsi="Arial"/>
                <w:sz w:val="12"/>
                <w:szCs w:val="12"/>
                <w:b w:val="1"/>
                <w:bCs w:val="1"/>
                <w:color w:val="auto"/>
              </w:rPr>
              <w:t>Equity Incentive</w:t>
            </w:r>
          </w:p>
        </w:tc>
        <w:tc>
          <w:tcPr>
            <w:tcW w:w="0" w:type="dxa"/>
            <w:vAlign w:val="bottom"/>
          </w:tcPr>
          <w:p>
            <w:pPr>
              <w:spacing w:after="0"/>
              <w:rPr>
                <w:sz w:val="1"/>
                <w:szCs w:val="1"/>
                <w:color w:val="auto"/>
              </w:rPr>
            </w:pPr>
          </w:p>
        </w:tc>
      </w:tr>
      <w:tr>
        <w:trPr>
          <w:trHeight w:val="133"/>
        </w:trPr>
        <w:tc>
          <w:tcPr>
            <w:tcW w:w="3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Shares</w:t>
            </w:r>
          </w:p>
        </w:tc>
        <w:tc>
          <w:tcPr>
            <w:tcW w:w="80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Shares</w:t>
            </w:r>
          </w:p>
        </w:tc>
        <w:tc>
          <w:tcPr>
            <w:tcW w:w="116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Plan Awards:</w:t>
            </w:r>
          </w:p>
        </w:tc>
        <w:tc>
          <w:tcPr>
            <w:tcW w:w="1200" w:type="dxa"/>
            <w:vAlign w:val="bottom"/>
            <w:gridSpan w:val="2"/>
          </w:tcPr>
          <w:p>
            <w:pPr>
              <w:jc w:val="right"/>
              <w:ind w:right="60"/>
              <w:spacing w:after="0" w:line="133" w:lineRule="exact"/>
              <w:rPr>
                <w:sz w:val="20"/>
                <w:szCs w:val="20"/>
                <w:color w:val="auto"/>
              </w:rPr>
            </w:pPr>
            <w:r>
              <w:rPr>
                <w:rFonts w:ascii="Arial" w:cs="Arial" w:eastAsia="Arial" w:hAnsi="Arial"/>
                <w:sz w:val="12"/>
                <w:szCs w:val="12"/>
                <w:b w:val="1"/>
                <w:bCs w:val="1"/>
                <w:color w:val="auto"/>
              </w:rPr>
              <w:t>Plan Awards:</w:t>
            </w:r>
          </w:p>
        </w:tc>
        <w:tc>
          <w:tcPr>
            <w:tcW w:w="0" w:type="dxa"/>
            <w:vAlign w:val="bottom"/>
          </w:tcPr>
          <w:p>
            <w:pPr>
              <w:spacing w:after="0"/>
              <w:rPr>
                <w:sz w:val="1"/>
                <w:szCs w:val="1"/>
                <w:color w:val="auto"/>
              </w:rPr>
            </w:pPr>
          </w:p>
        </w:tc>
      </w:tr>
      <w:tr>
        <w:trPr>
          <w:trHeight w:val="133"/>
        </w:trPr>
        <w:tc>
          <w:tcPr>
            <w:tcW w:w="3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or Units</w:t>
            </w:r>
          </w:p>
        </w:tc>
        <w:tc>
          <w:tcPr>
            <w:tcW w:w="80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or Units</w:t>
            </w:r>
          </w:p>
        </w:tc>
        <w:tc>
          <w:tcPr>
            <w:tcW w:w="116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Number of</w:t>
            </w:r>
          </w:p>
        </w:tc>
        <w:tc>
          <w:tcPr>
            <w:tcW w:w="1200" w:type="dxa"/>
            <w:vAlign w:val="bottom"/>
            <w:gridSpan w:val="2"/>
          </w:tcPr>
          <w:p>
            <w:pPr>
              <w:jc w:val="right"/>
              <w:ind w:right="60"/>
              <w:spacing w:after="0" w:line="133" w:lineRule="exact"/>
              <w:rPr>
                <w:sz w:val="20"/>
                <w:szCs w:val="20"/>
                <w:color w:val="auto"/>
              </w:rPr>
            </w:pPr>
            <w:r>
              <w:rPr>
                <w:rFonts w:ascii="Arial" w:cs="Arial" w:eastAsia="Arial" w:hAnsi="Arial"/>
                <w:sz w:val="12"/>
                <w:szCs w:val="12"/>
                <w:b w:val="1"/>
                <w:bCs w:val="1"/>
                <w:color w:val="auto"/>
              </w:rPr>
              <w:t>Market or Payout</w:t>
            </w:r>
          </w:p>
        </w:tc>
        <w:tc>
          <w:tcPr>
            <w:tcW w:w="0" w:type="dxa"/>
            <w:vAlign w:val="bottom"/>
          </w:tcPr>
          <w:p>
            <w:pPr>
              <w:spacing w:after="0"/>
              <w:rPr>
                <w:sz w:val="1"/>
                <w:szCs w:val="1"/>
                <w:color w:val="auto"/>
              </w:rPr>
            </w:pPr>
          </w:p>
        </w:tc>
      </w:tr>
      <w:tr>
        <w:trPr>
          <w:trHeight w:val="133"/>
        </w:trPr>
        <w:tc>
          <w:tcPr>
            <w:tcW w:w="3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00" w:type="dxa"/>
            <w:vAlign w:val="bottom"/>
            <w:gridSpan w:val="3"/>
            <w:vMerge w:val="restart"/>
          </w:tcPr>
          <w:p>
            <w:pPr>
              <w:jc w:val="center"/>
              <w:ind w:right="40"/>
              <w:spacing w:after="0"/>
              <w:rPr>
                <w:sz w:val="20"/>
                <w:szCs w:val="20"/>
                <w:color w:val="auto"/>
              </w:rPr>
            </w:pPr>
            <w:r>
              <w:rPr>
                <w:rFonts w:ascii="Arial" w:cs="Arial" w:eastAsia="Arial" w:hAnsi="Arial"/>
                <w:sz w:val="12"/>
                <w:szCs w:val="12"/>
                <w:b w:val="1"/>
                <w:bCs w:val="1"/>
                <w:color w:val="auto"/>
              </w:rPr>
              <w:t>Number of</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of Stock</w:t>
            </w:r>
          </w:p>
        </w:tc>
        <w:tc>
          <w:tcPr>
            <w:tcW w:w="80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of Stock</w:t>
            </w:r>
          </w:p>
        </w:tc>
        <w:tc>
          <w:tcPr>
            <w:tcW w:w="116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Unearned Shares,</w:t>
            </w:r>
          </w:p>
        </w:tc>
        <w:tc>
          <w:tcPr>
            <w:tcW w:w="1200" w:type="dxa"/>
            <w:vAlign w:val="bottom"/>
            <w:gridSpan w:val="2"/>
          </w:tcPr>
          <w:p>
            <w:pPr>
              <w:jc w:val="right"/>
              <w:ind w:right="60"/>
              <w:spacing w:after="0" w:line="133" w:lineRule="exact"/>
              <w:rPr>
                <w:sz w:val="20"/>
                <w:szCs w:val="20"/>
                <w:color w:val="auto"/>
              </w:rPr>
            </w:pPr>
            <w:r>
              <w:rPr>
                <w:rFonts w:ascii="Arial" w:cs="Arial" w:eastAsia="Arial" w:hAnsi="Arial"/>
                <w:sz w:val="12"/>
                <w:szCs w:val="12"/>
                <w:b w:val="1"/>
                <w:bCs w:val="1"/>
                <w:color w:val="auto"/>
              </w:rPr>
              <w:t>Value of Unearned</w:t>
            </w:r>
          </w:p>
        </w:tc>
        <w:tc>
          <w:tcPr>
            <w:tcW w:w="0" w:type="dxa"/>
            <w:vAlign w:val="bottom"/>
          </w:tcPr>
          <w:p>
            <w:pPr>
              <w:spacing w:after="0"/>
              <w:rPr>
                <w:sz w:val="1"/>
                <w:szCs w:val="1"/>
                <w:color w:val="auto"/>
              </w:rPr>
            </w:pPr>
          </w:p>
        </w:tc>
      </w:tr>
      <w:tr>
        <w:trPr>
          <w:trHeight w:val="126"/>
        </w:trPr>
        <w:tc>
          <w:tcPr>
            <w:tcW w:w="3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00" w:type="dxa"/>
            <w:vAlign w:val="bottom"/>
            <w:gridSpan w:val="3"/>
            <w:vMerge w:val="continue"/>
          </w:tcPr>
          <w:p>
            <w:pPr>
              <w:spacing w:after="0"/>
              <w:rPr>
                <w:sz w:val="10"/>
                <w:szCs w:val="10"/>
                <w:color w:val="auto"/>
              </w:rPr>
            </w:pPr>
          </w:p>
        </w:tc>
        <w:tc>
          <w:tcPr>
            <w:tcW w:w="640" w:type="dxa"/>
            <w:vAlign w:val="bottom"/>
            <w:gridSpan w:val="2"/>
          </w:tcPr>
          <w:p>
            <w:pPr>
              <w:jc w:val="right"/>
              <w:ind w:right="80"/>
              <w:spacing w:after="0" w:line="126" w:lineRule="exact"/>
              <w:rPr>
                <w:sz w:val="20"/>
                <w:szCs w:val="20"/>
                <w:color w:val="auto"/>
              </w:rPr>
            </w:pPr>
            <w:r>
              <w:rPr>
                <w:rFonts w:ascii="Arial" w:cs="Arial" w:eastAsia="Arial" w:hAnsi="Arial"/>
                <w:sz w:val="12"/>
                <w:szCs w:val="12"/>
                <w:b w:val="1"/>
                <w:bCs w:val="1"/>
                <w:color w:val="auto"/>
              </w:rPr>
              <w:t>Option</w:t>
            </w:r>
          </w:p>
        </w:tc>
        <w:tc>
          <w:tcPr>
            <w:tcW w:w="74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Held that</w:t>
            </w:r>
          </w:p>
        </w:tc>
        <w:tc>
          <w:tcPr>
            <w:tcW w:w="80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held that</w:t>
            </w:r>
          </w:p>
        </w:tc>
        <w:tc>
          <w:tcPr>
            <w:tcW w:w="116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Units or Other</w:t>
            </w:r>
          </w:p>
        </w:tc>
        <w:tc>
          <w:tcPr>
            <w:tcW w:w="1200" w:type="dxa"/>
            <w:vAlign w:val="bottom"/>
            <w:gridSpan w:val="2"/>
          </w:tcPr>
          <w:p>
            <w:pPr>
              <w:jc w:val="right"/>
              <w:ind w:right="60"/>
              <w:spacing w:after="0" w:line="126" w:lineRule="exact"/>
              <w:rPr>
                <w:sz w:val="20"/>
                <w:szCs w:val="20"/>
                <w:color w:val="auto"/>
              </w:rPr>
            </w:pPr>
            <w:r>
              <w:rPr>
                <w:rFonts w:ascii="Arial" w:cs="Arial" w:eastAsia="Arial" w:hAnsi="Arial"/>
                <w:sz w:val="12"/>
                <w:szCs w:val="12"/>
                <w:b w:val="1"/>
                <w:bCs w:val="1"/>
                <w:color w:val="auto"/>
              </w:rPr>
              <w:t>Shares, Units or</w:t>
            </w:r>
          </w:p>
        </w:tc>
        <w:tc>
          <w:tcPr>
            <w:tcW w:w="0" w:type="dxa"/>
            <w:vAlign w:val="bottom"/>
          </w:tcPr>
          <w:p>
            <w:pPr>
              <w:spacing w:after="0"/>
              <w:rPr>
                <w:sz w:val="1"/>
                <w:szCs w:val="1"/>
                <w:color w:val="auto"/>
              </w:rPr>
            </w:pPr>
          </w:p>
        </w:tc>
      </w:tr>
      <w:tr>
        <w:trPr>
          <w:trHeight w:val="133"/>
        </w:trPr>
        <w:tc>
          <w:tcPr>
            <w:tcW w:w="3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00" w:type="dxa"/>
            <w:vAlign w:val="bottom"/>
            <w:gridSpan w:val="3"/>
          </w:tcPr>
          <w:p>
            <w:pPr>
              <w:jc w:val="center"/>
              <w:ind w:right="60"/>
              <w:spacing w:after="0" w:line="133" w:lineRule="exact"/>
              <w:rPr>
                <w:sz w:val="20"/>
                <w:szCs w:val="20"/>
                <w:color w:val="auto"/>
              </w:rPr>
            </w:pPr>
            <w:r>
              <w:rPr>
                <w:rFonts w:ascii="Arial" w:cs="Arial" w:eastAsia="Arial" w:hAnsi="Arial"/>
                <w:sz w:val="12"/>
                <w:szCs w:val="12"/>
                <w:b w:val="1"/>
                <w:bCs w:val="1"/>
                <w:color w:val="auto"/>
              </w:rPr>
              <w:t>Securities Underlying</w:t>
            </w:r>
          </w:p>
        </w:tc>
        <w:tc>
          <w:tcPr>
            <w:tcW w:w="640" w:type="dxa"/>
            <w:vAlign w:val="bottom"/>
            <w:gridSpan w:val="2"/>
          </w:tcPr>
          <w:p>
            <w:pPr>
              <w:jc w:val="right"/>
              <w:ind w:right="80"/>
              <w:spacing w:after="0" w:line="133" w:lineRule="exact"/>
              <w:rPr>
                <w:sz w:val="20"/>
                <w:szCs w:val="20"/>
                <w:color w:val="auto"/>
              </w:rPr>
            </w:pPr>
            <w:r>
              <w:rPr>
                <w:rFonts w:ascii="Arial" w:cs="Arial" w:eastAsia="Arial" w:hAnsi="Arial"/>
                <w:sz w:val="12"/>
                <w:szCs w:val="12"/>
                <w:b w:val="1"/>
                <w:bCs w:val="1"/>
                <w:color w:val="auto"/>
              </w:rPr>
              <w:t>Exercise</w:t>
            </w:r>
          </w:p>
        </w:tc>
        <w:tc>
          <w:tcPr>
            <w:tcW w:w="740" w:type="dxa"/>
            <w:vAlign w:val="bottom"/>
          </w:tcPr>
          <w:p>
            <w:pPr>
              <w:jc w:val="right"/>
              <w:ind w:right="32"/>
              <w:spacing w:after="0" w:line="133" w:lineRule="exact"/>
              <w:rPr>
                <w:sz w:val="20"/>
                <w:szCs w:val="20"/>
                <w:color w:val="auto"/>
              </w:rPr>
            </w:pPr>
            <w:r>
              <w:rPr>
                <w:rFonts w:ascii="Arial" w:cs="Arial" w:eastAsia="Arial" w:hAnsi="Arial"/>
                <w:sz w:val="12"/>
                <w:szCs w:val="12"/>
                <w:b w:val="1"/>
                <w:bCs w:val="1"/>
                <w:color w:val="auto"/>
              </w:rPr>
              <w:t>Option</w:t>
            </w:r>
          </w:p>
        </w:tc>
        <w:tc>
          <w:tcPr>
            <w:tcW w:w="78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have not</w:t>
            </w:r>
          </w:p>
        </w:tc>
        <w:tc>
          <w:tcPr>
            <w:tcW w:w="80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have not</w:t>
            </w:r>
          </w:p>
        </w:tc>
        <w:tc>
          <w:tcPr>
            <w:tcW w:w="116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Rights that have</w:t>
            </w:r>
          </w:p>
        </w:tc>
        <w:tc>
          <w:tcPr>
            <w:tcW w:w="1200" w:type="dxa"/>
            <w:vAlign w:val="bottom"/>
            <w:gridSpan w:val="2"/>
          </w:tcPr>
          <w:p>
            <w:pPr>
              <w:jc w:val="right"/>
              <w:ind w:right="60"/>
              <w:spacing w:after="0" w:line="133" w:lineRule="exact"/>
              <w:rPr>
                <w:sz w:val="20"/>
                <w:szCs w:val="20"/>
                <w:color w:val="auto"/>
              </w:rPr>
            </w:pPr>
            <w:r>
              <w:rPr>
                <w:rFonts w:ascii="Arial" w:cs="Arial" w:eastAsia="Arial" w:hAnsi="Arial"/>
                <w:sz w:val="12"/>
                <w:szCs w:val="12"/>
                <w:b w:val="1"/>
                <w:bCs w:val="1"/>
                <w:color w:val="auto"/>
              </w:rPr>
              <w:t>Other Rights That</w:t>
            </w:r>
          </w:p>
        </w:tc>
        <w:tc>
          <w:tcPr>
            <w:tcW w:w="0" w:type="dxa"/>
            <w:vAlign w:val="bottom"/>
          </w:tcPr>
          <w:p>
            <w:pPr>
              <w:spacing w:after="0"/>
              <w:rPr>
                <w:sz w:val="1"/>
                <w:szCs w:val="1"/>
                <w:color w:val="auto"/>
              </w:rPr>
            </w:pPr>
          </w:p>
        </w:tc>
      </w:tr>
      <w:tr>
        <w:trPr>
          <w:trHeight w:val="153"/>
        </w:trPr>
        <w:tc>
          <w:tcPr>
            <w:tcW w:w="3500" w:type="dxa"/>
            <w:vAlign w:val="bottom"/>
          </w:tcPr>
          <w:p>
            <w:pPr>
              <w:spacing w:after="0"/>
              <w:rPr>
                <w:sz w:val="13"/>
                <w:szCs w:val="13"/>
                <w:color w:val="auto"/>
              </w:rPr>
            </w:pPr>
          </w:p>
        </w:tc>
        <w:tc>
          <w:tcPr>
            <w:tcW w:w="720" w:type="dxa"/>
            <w:vAlign w:val="bottom"/>
          </w:tcPr>
          <w:p>
            <w:pPr>
              <w:jc w:val="right"/>
              <w:ind w:right="11"/>
              <w:spacing w:after="0"/>
              <w:rPr>
                <w:sz w:val="20"/>
                <w:szCs w:val="20"/>
                <w:color w:val="auto"/>
              </w:rPr>
            </w:pPr>
            <w:r>
              <w:rPr>
                <w:rFonts w:ascii="Arial" w:cs="Arial" w:eastAsia="Arial" w:hAnsi="Arial"/>
                <w:sz w:val="12"/>
                <w:szCs w:val="12"/>
                <w:b w:val="1"/>
                <w:bCs w:val="1"/>
                <w:color w:val="auto"/>
              </w:rPr>
              <w:t>Option</w:t>
            </w: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Unexercised Options (#)</w:t>
            </w:r>
          </w:p>
        </w:tc>
        <w:tc>
          <w:tcPr>
            <w:tcW w:w="60" w:type="dxa"/>
            <w:vAlign w:val="bottom"/>
          </w:tcPr>
          <w:p>
            <w:pPr>
              <w:spacing w:after="0"/>
              <w:rPr>
                <w:sz w:val="13"/>
                <w:szCs w:val="13"/>
                <w:color w:val="auto"/>
              </w:rPr>
            </w:pPr>
          </w:p>
        </w:tc>
        <w:tc>
          <w:tcPr>
            <w:tcW w:w="640" w:type="dxa"/>
            <w:vAlign w:val="bottom"/>
            <w:gridSpan w:val="2"/>
          </w:tcPr>
          <w:p>
            <w:pPr>
              <w:ind w:left="220"/>
              <w:spacing w:after="0"/>
              <w:rPr>
                <w:sz w:val="20"/>
                <w:szCs w:val="20"/>
                <w:color w:val="auto"/>
              </w:rPr>
            </w:pPr>
            <w:r>
              <w:rPr>
                <w:rFonts w:ascii="Arial" w:cs="Arial" w:eastAsia="Arial" w:hAnsi="Arial"/>
                <w:sz w:val="12"/>
                <w:szCs w:val="12"/>
                <w:b w:val="1"/>
                <w:bCs w:val="1"/>
                <w:color w:val="auto"/>
              </w:rPr>
              <w:t>Price</w:t>
            </w:r>
          </w:p>
        </w:tc>
        <w:tc>
          <w:tcPr>
            <w:tcW w:w="740" w:type="dxa"/>
            <w:vAlign w:val="bottom"/>
          </w:tcPr>
          <w:p>
            <w:pPr>
              <w:jc w:val="right"/>
              <w:ind w:right="32"/>
              <w:spacing w:after="0"/>
              <w:rPr>
                <w:sz w:val="20"/>
                <w:szCs w:val="20"/>
                <w:color w:val="auto"/>
              </w:rPr>
            </w:pPr>
            <w:r>
              <w:rPr>
                <w:rFonts w:ascii="Arial" w:cs="Arial" w:eastAsia="Arial" w:hAnsi="Arial"/>
                <w:sz w:val="12"/>
                <w:szCs w:val="12"/>
                <w:b w:val="1"/>
                <w:bCs w:val="1"/>
                <w:color w:val="auto"/>
              </w:rPr>
              <w:t>Expiration</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Vested</w:t>
            </w: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Vested</w:t>
            </w: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not Vested</w:t>
            </w:r>
          </w:p>
        </w:tc>
        <w:tc>
          <w:tcPr>
            <w:tcW w:w="12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Have Not Vested</w:t>
            </w:r>
          </w:p>
        </w:tc>
        <w:tc>
          <w:tcPr>
            <w:tcW w:w="0" w:type="dxa"/>
            <w:vAlign w:val="bottom"/>
          </w:tcPr>
          <w:p>
            <w:pPr>
              <w:spacing w:after="0"/>
              <w:rPr>
                <w:sz w:val="1"/>
                <w:szCs w:val="1"/>
                <w:color w:val="auto"/>
              </w:rPr>
            </w:pPr>
          </w:p>
        </w:tc>
      </w:tr>
      <w:tr>
        <w:trPr>
          <w:trHeight w:val="193"/>
        </w:trPr>
        <w:tc>
          <w:tcPr>
            <w:tcW w:w="350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Officer</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2"/>
                <w:szCs w:val="12"/>
                <w:b w:val="1"/>
                <w:bCs w:val="1"/>
                <w:color w:val="auto"/>
              </w:rPr>
              <w:t>Grant Date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Exercisable</w:t>
            </w:r>
          </w:p>
        </w:tc>
        <w:tc>
          <w:tcPr>
            <w:tcW w:w="9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2"/>
                <w:szCs w:val="12"/>
                <w:b w:val="1"/>
                <w:bCs w:val="1"/>
                <w:color w:val="auto"/>
              </w:rPr>
              <w:t>Unexercisable</w:t>
            </w:r>
          </w:p>
        </w:tc>
        <w:tc>
          <w:tcPr>
            <w:tcW w:w="6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2"/>
                <w:szCs w:val="12"/>
                <w:b w:val="1"/>
                <w:bCs w:val="1"/>
                <w:color w:val="auto"/>
              </w:rPr>
              <w:t>Date</w:t>
            </w:r>
          </w:p>
        </w:tc>
        <w:tc>
          <w:tcPr>
            <w:tcW w:w="7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20"/>
                <w:szCs w:val="20"/>
                <w:b w:val="1"/>
                <w:bCs w:val="1"/>
                <w:color w:val="auto"/>
                <w:vertAlign w:val="superscript"/>
              </w:rPr>
              <w:t>(2)</w:t>
            </w:r>
          </w:p>
        </w:tc>
        <w:tc>
          <w:tcPr>
            <w:tcW w:w="8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20"/>
                <w:szCs w:val="20"/>
                <w:b w:val="1"/>
                <w:bCs w:val="1"/>
                <w:color w:val="auto"/>
                <w:vertAlign w:val="superscript"/>
              </w:rPr>
              <w:t>(3)</w:t>
            </w:r>
          </w:p>
        </w:tc>
        <w:tc>
          <w:tcPr>
            <w:tcW w:w="116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20"/>
                <w:szCs w:val="20"/>
                <w:b w:val="1"/>
                <w:bCs w:val="1"/>
                <w:color w:val="auto"/>
                <w:vertAlign w:val="superscript"/>
              </w:rPr>
              <w:t>(4)</w:t>
            </w:r>
          </w:p>
        </w:tc>
        <w:tc>
          <w:tcPr>
            <w:tcW w:w="11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20"/>
                <w:szCs w:val="20"/>
                <w:b w:val="1"/>
                <w:bCs w:val="1"/>
                <w:color w:val="auto"/>
                <w:vertAlign w:val="superscript"/>
              </w:rPr>
              <w:t>(3)</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500" w:type="dxa"/>
            <w:vAlign w:val="bottom"/>
          </w:tcPr>
          <w:p>
            <w:pPr>
              <w:ind w:left="80"/>
              <w:spacing w:after="0"/>
              <w:rPr>
                <w:sz w:val="20"/>
                <w:szCs w:val="20"/>
                <w:color w:val="auto"/>
              </w:rPr>
            </w:pPr>
            <w:r>
              <w:rPr>
                <w:rFonts w:ascii="Arial" w:cs="Arial" w:eastAsia="Arial" w:hAnsi="Arial"/>
                <w:sz w:val="14"/>
                <w:szCs w:val="14"/>
                <w:b w:val="1"/>
                <w:bCs w:val="1"/>
                <w:color w:val="009A4B"/>
              </w:rPr>
              <w:t>Seifi Ghasemi</w:t>
            </w:r>
          </w:p>
        </w:tc>
        <w:tc>
          <w:tcPr>
            <w:tcW w:w="720" w:type="dxa"/>
            <w:vAlign w:val="bottom"/>
            <w:tcBorders>
              <w:bottom w:val="single" w:sz="8" w:color="949599"/>
            </w:tcBorders>
          </w:tcPr>
          <w:p>
            <w:pPr>
              <w:spacing w:after="0"/>
              <w:rPr>
                <w:sz w:val="18"/>
                <w:szCs w:val="18"/>
                <w:color w:val="auto"/>
              </w:rPr>
            </w:pPr>
          </w:p>
        </w:tc>
        <w:tc>
          <w:tcPr>
            <w:tcW w:w="760" w:type="dxa"/>
            <w:vAlign w:val="bottom"/>
            <w:tcBorders>
              <w:bottom w:val="single" w:sz="8" w:color="949599"/>
            </w:tcBorders>
          </w:tcPr>
          <w:p>
            <w:pPr>
              <w:spacing w:after="0"/>
              <w:rPr>
                <w:sz w:val="18"/>
                <w:szCs w:val="18"/>
                <w:color w:val="auto"/>
              </w:rPr>
            </w:pPr>
          </w:p>
        </w:tc>
        <w:tc>
          <w:tcPr>
            <w:tcW w:w="880" w:type="dxa"/>
            <w:vAlign w:val="bottom"/>
            <w:tcBorders>
              <w:bottom w:val="single" w:sz="8" w:color="949599"/>
            </w:tcBorders>
          </w:tcPr>
          <w:p>
            <w:pPr>
              <w:spacing w:after="0"/>
              <w:rPr>
                <w:sz w:val="18"/>
                <w:szCs w:val="18"/>
                <w:color w:val="auto"/>
              </w:rPr>
            </w:pPr>
          </w:p>
        </w:tc>
        <w:tc>
          <w:tcPr>
            <w:tcW w:w="60" w:type="dxa"/>
            <w:vAlign w:val="bottom"/>
            <w:tcBorders>
              <w:bottom w:val="single" w:sz="8" w:color="949599"/>
            </w:tcBorders>
          </w:tcPr>
          <w:p>
            <w:pPr>
              <w:spacing w:after="0"/>
              <w:rPr>
                <w:sz w:val="18"/>
                <w:szCs w:val="18"/>
                <w:color w:val="auto"/>
              </w:rPr>
            </w:pPr>
          </w:p>
        </w:tc>
        <w:tc>
          <w:tcPr>
            <w:tcW w:w="560" w:type="dxa"/>
            <w:vAlign w:val="bottom"/>
            <w:tcBorders>
              <w:bottom w:val="single" w:sz="8" w:color="949599"/>
            </w:tcBorders>
          </w:tcPr>
          <w:p>
            <w:pPr>
              <w:spacing w:after="0"/>
              <w:rPr>
                <w:sz w:val="18"/>
                <w:szCs w:val="18"/>
                <w:color w:val="auto"/>
              </w:rPr>
            </w:pPr>
          </w:p>
        </w:tc>
        <w:tc>
          <w:tcPr>
            <w:tcW w:w="80" w:type="dxa"/>
            <w:vAlign w:val="bottom"/>
            <w:tcBorders>
              <w:bottom w:val="single" w:sz="8" w:color="949599"/>
            </w:tcBorders>
          </w:tcPr>
          <w:p>
            <w:pPr>
              <w:spacing w:after="0"/>
              <w:rPr>
                <w:sz w:val="18"/>
                <w:szCs w:val="18"/>
                <w:color w:val="auto"/>
              </w:rPr>
            </w:pPr>
          </w:p>
        </w:tc>
        <w:tc>
          <w:tcPr>
            <w:tcW w:w="740" w:type="dxa"/>
            <w:vAlign w:val="bottom"/>
            <w:tcBorders>
              <w:bottom w:val="single" w:sz="8" w:color="949599"/>
            </w:tcBorders>
          </w:tcPr>
          <w:p>
            <w:pPr>
              <w:spacing w:after="0"/>
              <w:rPr>
                <w:sz w:val="18"/>
                <w:szCs w:val="18"/>
                <w:color w:val="auto"/>
              </w:rPr>
            </w:pPr>
          </w:p>
        </w:tc>
        <w:tc>
          <w:tcPr>
            <w:tcW w:w="78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79,021</w:t>
            </w:r>
          </w:p>
        </w:tc>
        <w:tc>
          <w:tcPr>
            <w:tcW w:w="80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20,238,068</w:t>
            </w:r>
          </w:p>
        </w:tc>
        <w:tc>
          <w:tcPr>
            <w:tcW w:w="116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110,039</w:t>
            </w:r>
          </w:p>
        </w:tc>
        <w:tc>
          <w:tcPr>
            <w:tcW w:w="114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28,182,088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720" w:type="dxa"/>
            <w:vAlign w:val="bottom"/>
            <w:tcBorders>
              <w:bottom w:val="single" w:sz="8" w:color="949599"/>
            </w:tcBorders>
          </w:tcPr>
          <w:p>
            <w:pPr>
              <w:jc w:val="right"/>
              <w:ind w:right="11"/>
              <w:spacing w:after="0"/>
              <w:rPr>
                <w:sz w:val="20"/>
                <w:szCs w:val="20"/>
                <w:color w:val="auto"/>
              </w:rPr>
            </w:pPr>
            <w:r>
              <w:rPr>
                <w:rFonts w:ascii="Arial" w:cs="Arial" w:eastAsia="Arial" w:hAnsi="Arial"/>
                <w:sz w:val="14"/>
                <w:szCs w:val="14"/>
                <w:color w:val="auto"/>
              </w:rPr>
              <w:t>7/1/2014</w:t>
            </w:r>
          </w:p>
        </w:tc>
        <w:tc>
          <w:tcPr>
            <w:tcW w:w="76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165,235</w:t>
            </w:r>
          </w:p>
        </w:tc>
        <w:tc>
          <w:tcPr>
            <w:tcW w:w="880" w:type="dxa"/>
            <w:vAlign w:val="bottom"/>
            <w:tcBorders>
              <w:bottom w:val="single" w:sz="8" w:color="949599"/>
            </w:tcBorders>
          </w:tcPr>
          <w:p>
            <w:pPr>
              <w:jc w:val="center"/>
              <w:spacing w:after="0"/>
              <w:rPr>
                <w:sz w:val="20"/>
                <w:szCs w:val="20"/>
                <w:color w:val="auto"/>
              </w:rPr>
            </w:pPr>
            <w:r>
              <w:rPr>
                <w:rFonts w:ascii="Arial" w:cs="Arial" w:eastAsia="Arial" w:hAnsi="Arial"/>
                <w:sz w:val="14"/>
                <w:szCs w:val="14"/>
                <w:color w:val="auto"/>
              </w:rPr>
              <w:t>0</w:t>
            </w:r>
          </w:p>
        </w:tc>
        <w:tc>
          <w:tcPr>
            <w:tcW w:w="60" w:type="dxa"/>
            <w:vAlign w:val="bottom"/>
            <w:tcBorders>
              <w:bottom w:val="single" w:sz="8" w:color="949599"/>
            </w:tcBorders>
          </w:tcPr>
          <w:p>
            <w:pPr>
              <w:spacing w:after="0"/>
              <w:rPr>
                <w:sz w:val="17"/>
                <w:szCs w:val="17"/>
                <w:color w:val="auto"/>
              </w:rPr>
            </w:pPr>
          </w:p>
        </w:tc>
        <w:tc>
          <w:tcPr>
            <w:tcW w:w="640" w:type="dxa"/>
            <w:vAlign w:val="bottom"/>
            <w:tcBorders>
              <w:bottom w:val="single" w:sz="8" w:color="949599"/>
            </w:tcBorders>
            <w:gridSpan w:val="2"/>
          </w:tcPr>
          <w:p>
            <w:pPr>
              <w:jc w:val="right"/>
              <w:ind w:right="80"/>
              <w:spacing w:after="0"/>
              <w:rPr>
                <w:sz w:val="20"/>
                <w:szCs w:val="20"/>
                <w:color w:val="auto"/>
              </w:rPr>
            </w:pPr>
            <w:r>
              <w:rPr>
                <w:rFonts w:ascii="Arial" w:cs="Arial" w:eastAsia="Arial" w:hAnsi="Arial"/>
                <w:sz w:val="14"/>
                <w:szCs w:val="14"/>
                <w:color w:val="auto"/>
              </w:rPr>
              <w:t>120.69</w:t>
            </w:r>
          </w:p>
        </w:tc>
        <w:tc>
          <w:tcPr>
            <w:tcW w:w="740" w:type="dxa"/>
            <w:vAlign w:val="bottom"/>
            <w:tcBorders>
              <w:bottom w:val="single" w:sz="8" w:color="949599"/>
            </w:tcBorders>
          </w:tcPr>
          <w:p>
            <w:pPr>
              <w:jc w:val="right"/>
              <w:ind w:right="32"/>
              <w:spacing w:after="0"/>
              <w:rPr>
                <w:sz w:val="20"/>
                <w:szCs w:val="20"/>
                <w:color w:val="auto"/>
              </w:rPr>
            </w:pPr>
            <w:r>
              <w:rPr>
                <w:rFonts w:ascii="Arial" w:cs="Arial" w:eastAsia="Arial" w:hAnsi="Arial"/>
                <w:sz w:val="14"/>
                <w:szCs w:val="14"/>
                <w:color w:val="auto"/>
                <w:w w:val="99"/>
              </w:rPr>
              <w:t>6/28/2024</w:t>
            </w:r>
          </w:p>
        </w:tc>
        <w:tc>
          <w:tcPr>
            <w:tcW w:w="780" w:type="dxa"/>
            <w:vAlign w:val="bottom"/>
            <w:tcBorders>
              <w:bottom w:val="single" w:sz="8" w:color="949599"/>
            </w:tcBorders>
          </w:tcPr>
          <w:p>
            <w:pPr>
              <w:spacing w:after="0"/>
              <w:rPr>
                <w:sz w:val="17"/>
                <w:szCs w:val="17"/>
                <w:color w:val="auto"/>
              </w:rPr>
            </w:pPr>
          </w:p>
        </w:tc>
        <w:tc>
          <w:tcPr>
            <w:tcW w:w="800" w:type="dxa"/>
            <w:vAlign w:val="bottom"/>
            <w:tcBorders>
              <w:bottom w:val="single" w:sz="8" w:color="949599"/>
            </w:tcBorders>
          </w:tcPr>
          <w:p>
            <w:pPr>
              <w:spacing w:after="0"/>
              <w:rPr>
                <w:sz w:val="17"/>
                <w:szCs w:val="17"/>
                <w:color w:val="auto"/>
              </w:rPr>
            </w:pPr>
          </w:p>
        </w:tc>
        <w:tc>
          <w:tcPr>
            <w:tcW w:w="1160" w:type="dxa"/>
            <w:vAlign w:val="bottom"/>
            <w:tcBorders>
              <w:bottom w:val="single" w:sz="8" w:color="949599"/>
            </w:tcBorders>
          </w:tcPr>
          <w:p>
            <w:pPr>
              <w:spacing w:after="0"/>
              <w:rPr>
                <w:sz w:val="17"/>
                <w:szCs w:val="17"/>
                <w:color w:val="auto"/>
              </w:rPr>
            </w:pPr>
          </w:p>
        </w:tc>
        <w:tc>
          <w:tcPr>
            <w:tcW w:w="1140" w:type="dxa"/>
            <w:vAlign w:val="bottom"/>
            <w:tcBorders>
              <w:bottom w:val="single" w:sz="8" w:color="949599"/>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Borders>
              <w:bottom w:val="single" w:sz="8" w:color="949599"/>
            </w:tcBorders>
          </w:tcPr>
          <w:p>
            <w:pPr>
              <w:spacing w:after="0"/>
              <w:rPr>
                <w:sz w:val="17"/>
                <w:szCs w:val="17"/>
                <w:color w:val="auto"/>
              </w:rPr>
            </w:pPr>
          </w:p>
        </w:tc>
        <w:tc>
          <w:tcPr>
            <w:tcW w:w="720" w:type="dxa"/>
            <w:vAlign w:val="bottom"/>
            <w:tcBorders>
              <w:bottom w:val="single" w:sz="8" w:color="949599"/>
            </w:tcBorders>
          </w:tcPr>
          <w:p>
            <w:pPr>
              <w:jc w:val="right"/>
              <w:ind w:right="11"/>
              <w:spacing w:after="0"/>
              <w:rPr>
                <w:sz w:val="20"/>
                <w:szCs w:val="20"/>
                <w:color w:val="auto"/>
              </w:rPr>
            </w:pPr>
            <w:r>
              <w:rPr>
                <w:rFonts w:ascii="Arial" w:cs="Arial" w:eastAsia="Arial" w:hAnsi="Arial"/>
                <w:sz w:val="14"/>
                <w:szCs w:val="14"/>
                <w:color w:val="auto"/>
                <w:w w:val="99"/>
              </w:rPr>
              <w:t>12/1/2014</w:t>
            </w:r>
          </w:p>
        </w:tc>
        <w:tc>
          <w:tcPr>
            <w:tcW w:w="76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43,358</w:t>
            </w:r>
          </w:p>
        </w:tc>
        <w:tc>
          <w:tcPr>
            <w:tcW w:w="880" w:type="dxa"/>
            <w:vAlign w:val="bottom"/>
            <w:tcBorders>
              <w:bottom w:val="single" w:sz="8" w:color="949599"/>
            </w:tcBorders>
          </w:tcPr>
          <w:p>
            <w:pPr>
              <w:jc w:val="center"/>
              <w:spacing w:after="0"/>
              <w:rPr>
                <w:sz w:val="20"/>
                <w:szCs w:val="20"/>
                <w:color w:val="auto"/>
              </w:rPr>
            </w:pPr>
            <w:r>
              <w:rPr>
                <w:rFonts w:ascii="Arial" w:cs="Arial" w:eastAsia="Arial" w:hAnsi="Arial"/>
                <w:sz w:val="14"/>
                <w:szCs w:val="14"/>
                <w:color w:val="auto"/>
              </w:rPr>
              <w:t>0</w:t>
            </w:r>
          </w:p>
        </w:tc>
        <w:tc>
          <w:tcPr>
            <w:tcW w:w="60" w:type="dxa"/>
            <w:vAlign w:val="bottom"/>
            <w:tcBorders>
              <w:bottom w:val="single" w:sz="8" w:color="949599"/>
            </w:tcBorders>
          </w:tcPr>
          <w:p>
            <w:pPr>
              <w:spacing w:after="0"/>
              <w:rPr>
                <w:sz w:val="17"/>
                <w:szCs w:val="17"/>
                <w:color w:val="auto"/>
              </w:rPr>
            </w:pPr>
          </w:p>
        </w:tc>
        <w:tc>
          <w:tcPr>
            <w:tcW w:w="640" w:type="dxa"/>
            <w:vAlign w:val="bottom"/>
            <w:tcBorders>
              <w:bottom w:val="single" w:sz="8" w:color="949599"/>
            </w:tcBorders>
            <w:gridSpan w:val="2"/>
          </w:tcPr>
          <w:p>
            <w:pPr>
              <w:jc w:val="right"/>
              <w:ind w:right="80"/>
              <w:spacing w:after="0"/>
              <w:rPr>
                <w:sz w:val="20"/>
                <w:szCs w:val="20"/>
                <w:color w:val="auto"/>
              </w:rPr>
            </w:pPr>
            <w:r>
              <w:rPr>
                <w:rFonts w:ascii="Arial" w:cs="Arial" w:eastAsia="Arial" w:hAnsi="Arial"/>
                <w:sz w:val="14"/>
                <w:szCs w:val="14"/>
                <w:color w:val="auto"/>
              </w:rPr>
              <w:t>134.54</w:t>
            </w:r>
          </w:p>
        </w:tc>
        <w:tc>
          <w:tcPr>
            <w:tcW w:w="740" w:type="dxa"/>
            <w:vAlign w:val="bottom"/>
            <w:tcBorders>
              <w:bottom w:val="single" w:sz="8" w:color="949599"/>
            </w:tcBorders>
          </w:tcPr>
          <w:p>
            <w:pPr>
              <w:jc w:val="right"/>
              <w:ind w:right="32"/>
              <w:spacing w:after="0"/>
              <w:rPr>
                <w:sz w:val="20"/>
                <w:szCs w:val="20"/>
                <w:color w:val="auto"/>
              </w:rPr>
            </w:pPr>
            <w:r>
              <w:rPr>
                <w:rFonts w:ascii="Arial" w:cs="Arial" w:eastAsia="Arial" w:hAnsi="Arial"/>
                <w:sz w:val="14"/>
                <w:szCs w:val="14"/>
                <w:color w:val="auto"/>
                <w:w w:val="99"/>
              </w:rPr>
              <w:t>12/1/2024</w:t>
            </w:r>
          </w:p>
        </w:tc>
        <w:tc>
          <w:tcPr>
            <w:tcW w:w="780" w:type="dxa"/>
            <w:vAlign w:val="bottom"/>
            <w:tcBorders>
              <w:bottom w:val="single" w:sz="8" w:color="949599"/>
            </w:tcBorders>
          </w:tcPr>
          <w:p>
            <w:pPr>
              <w:spacing w:after="0"/>
              <w:rPr>
                <w:sz w:val="17"/>
                <w:szCs w:val="17"/>
                <w:color w:val="auto"/>
              </w:rPr>
            </w:pPr>
          </w:p>
        </w:tc>
        <w:tc>
          <w:tcPr>
            <w:tcW w:w="800" w:type="dxa"/>
            <w:vAlign w:val="bottom"/>
            <w:tcBorders>
              <w:bottom w:val="single" w:sz="8" w:color="949599"/>
            </w:tcBorders>
          </w:tcPr>
          <w:p>
            <w:pPr>
              <w:spacing w:after="0"/>
              <w:rPr>
                <w:sz w:val="17"/>
                <w:szCs w:val="17"/>
                <w:color w:val="auto"/>
              </w:rPr>
            </w:pPr>
          </w:p>
        </w:tc>
        <w:tc>
          <w:tcPr>
            <w:tcW w:w="1160" w:type="dxa"/>
            <w:vAlign w:val="bottom"/>
            <w:tcBorders>
              <w:bottom w:val="single" w:sz="8" w:color="949599"/>
            </w:tcBorders>
          </w:tcPr>
          <w:p>
            <w:pPr>
              <w:spacing w:after="0"/>
              <w:rPr>
                <w:sz w:val="17"/>
                <w:szCs w:val="17"/>
                <w:color w:val="auto"/>
              </w:rPr>
            </w:pPr>
          </w:p>
        </w:tc>
        <w:tc>
          <w:tcPr>
            <w:tcW w:w="1140" w:type="dxa"/>
            <w:vAlign w:val="bottom"/>
            <w:tcBorders>
              <w:bottom w:val="single" w:sz="8" w:color="949599"/>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Borders>
              <w:bottom w:val="single" w:sz="8" w:color="949599"/>
            </w:tcBorders>
          </w:tcPr>
          <w:p>
            <w:pPr>
              <w:ind w:left="80"/>
              <w:spacing w:after="0"/>
              <w:rPr>
                <w:sz w:val="20"/>
                <w:szCs w:val="20"/>
                <w:color w:val="auto"/>
              </w:rPr>
            </w:pPr>
            <w:r>
              <w:rPr>
                <w:rFonts w:ascii="Arial" w:cs="Arial" w:eastAsia="Arial" w:hAnsi="Arial"/>
                <w:sz w:val="14"/>
                <w:szCs w:val="14"/>
                <w:b w:val="1"/>
                <w:bCs w:val="1"/>
                <w:color w:val="009A4B"/>
              </w:rPr>
              <w:t>Melissa N. Schaeffer</w:t>
            </w:r>
          </w:p>
        </w:tc>
        <w:tc>
          <w:tcPr>
            <w:tcW w:w="720" w:type="dxa"/>
            <w:vAlign w:val="bottom"/>
            <w:tcBorders>
              <w:bottom w:val="single" w:sz="8" w:color="949599"/>
            </w:tcBorders>
          </w:tcPr>
          <w:p>
            <w:pPr>
              <w:spacing w:after="0"/>
              <w:rPr>
                <w:sz w:val="17"/>
                <w:szCs w:val="17"/>
                <w:color w:val="auto"/>
              </w:rPr>
            </w:pPr>
          </w:p>
        </w:tc>
        <w:tc>
          <w:tcPr>
            <w:tcW w:w="760" w:type="dxa"/>
            <w:vAlign w:val="bottom"/>
            <w:tcBorders>
              <w:bottom w:val="single" w:sz="8" w:color="949599"/>
            </w:tcBorders>
          </w:tcPr>
          <w:p>
            <w:pPr>
              <w:spacing w:after="0"/>
              <w:rPr>
                <w:sz w:val="17"/>
                <w:szCs w:val="17"/>
                <w:color w:val="auto"/>
              </w:rPr>
            </w:pPr>
          </w:p>
        </w:tc>
        <w:tc>
          <w:tcPr>
            <w:tcW w:w="880" w:type="dxa"/>
            <w:vAlign w:val="bottom"/>
            <w:tcBorders>
              <w:bottom w:val="single" w:sz="8" w:color="949599"/>
            </w:tcBorders>
          </w:tcPr>
          <w:p>
            <w:pPr>
              <w:spacing w:after="0"/>
              <w:rPr>
                <w:sz w:val="17"/>
                <w:szCs w:val="17"/>
                <w:color w:val="auto"/>
              </w:rPr>
            </w:pPr>
          </w:p>
        </w:tc>
        <w:tc>
          <w:tcPr>
            <w:tcW w:w="60" w:type="dxa"/>
            <w:vAlign w:val="bottom"/>
            <w:tcBorders>
              <w:bottom w:val="single" w:sz="8" w:color="949599"/>
            </w:tcBorders>
          </w:tcPr>
          <w:p>
            <w:pPr>
              <w:spacing w:after="0"/>
              <w:rPr>
                <w:sz w:val="17"/>
                <w:szCs w:val="17"/>
                <w:color w:val="auto"/>
              </w:rPr>
            </w:pPr>
          </w:p>
        </w:tc>
        <w:tc>
          <w:tcPr>
            <w:tcW w:w="560" w:type="dxa"/>
            <w:vAlign w:val="bottom"/>
            <w:tcBorders>
              <w:bottom w:val="single" w:sz="8" w:color="949599"/>
            </w:tcBorders>
          </w:tcPr>
          <w:p>
            <w:pPr>
              <w:spacing w:after="0"/>
              <w:rPr>
                <w:sz w:val="17"/>
                <w:szCs w:val="17"/>
                <w:color w:val="auto"/>
              </w:rPr>
            </w:pPr>
          </w:p>
        </w:tc>
        <w:tc>
          <w:tcPr>
            <w:tcW w:w="80" w:type="dxa"/>
            <w:vAlign w:val="bottom"/>
            <w:tcBorders>
              <w:bottom w:val="single" w:sz="8" w:color="949599"/>
            </w:tcBorders>
          </w:tcPr>
          <w:p>
            <w:pPr>
              <w:spacing w:after="0"/>
              <w:rPr>
                <w:sz w:val="17"/>
                <w:szCs w:val="17"/>
                <w:color w:val="auto"/>
              </w:rPr>
            </w:pPr>
          </w:p>
        </w:tc>
        <w:tc>
          <w:tcPr>
            <w:tcW w:w="740" w:type="dxa"/>
            <w:vAlign w:val="bottom"/>
            <w:tcBorders>
              <w:bottom w:val="single" w:sz="8" w:color="949599"/>
            </w:tcBorders>
          </w:tcPr>
          <w:p>
            <w:pPr>
              <w:spacing w:after="0"/>
              <w:rPr>
                <w:sz w:val="17"/>
                <w:szCs w:val="17"/>
                <w:color w:val="auto"/>
              </w:rPr>
            </w:pPr>
          </w:p>
        </w:tc>
        <w:tc>
          <w:tcPr>
            <w:tcW w:w="78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1,305</w:t>
            </w:r>
          </w:p>
        </w:tc>
        <w:tc>
          <w:tcPr>
            <w:tcW w:w="80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334,224</w:t>
            </w:r>
          </w:p>
        </w:tc>
        <w:tc>
          <w:tcPr>
            <w:tcW w:w="116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1,787</w:t>
            </w:r>
          </w:p>
        </w:tc>
        <w:tc>
          <w:tcPr>
            <w:tcW w:w="114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457,669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ind w:left="80"/>
              <w:spacing w:after="0"/>
              <w:rPr>
                <w:sz w:val="20"/>
                <w:szCs w:val="20"/>
                <w:color w:val="auto"/>
              </w:rPr>
            </w:pPr>
            <w:r>
              <w:rPr>
                <w:rFonts w:ascii="Arial" w:cs="Arial" w:eastAsia="Arial" w:hAnsi="Arial"/>
                <w:sz w:val="14"/>
                <w:szCs w:val="14"/>
                <w:b w:val="1"/>
                <w:bCs w:val="1"/>
                <w:color w:val="009A4B"/>
              </w:rPr>
              <w:t>M. Scott Crocco</w:t>
            </w:r>
          </w:p>
        </w:tc>
        <w:tc>
          <w:tcPr>
            <w:tcW w:w="720" w:type="dxa"/>
            <w:vAlign w:val="bottom"/>
            <w:tcBorders>
              <w:bottom w:val="single" w:sz="8" w:color="949599"/>
            </w:tcBorders>
          </w:tcPr>
          <w:p>
            <w:pPr>
              <w:spacing w:after="0"/>
              <w:rPr>
                <w:sz w:val="17"/>
                <w:szCs w:val="17"/>
                <w:color w:val="auto"/>
              </w:rPr>
            </w:pPr>
          </w:p>
        </w:tc>
        <w:tc>
          <w:tcPr>
            <w:tcW w:w="760" w:type="dxa"/>
            <w:vAlign w:val="bottom"/>
            <w:tcBorders>
              <w:bottom w:val="single" w:sz="8" w:color="949599"/>
            </w:tcBorders>
          </w:tcPr>
          <w:p>
            <w:pPr>
              <w:spacing w:after="0"/>
              <w:rPr>
                <w:sz w:val="17"/>
                <w:szCs w:val="17"/>
                <w:color w:val="auto"/>
              </w:rPr>
            </w:pPr>
          </w:p>
        </w:tc>
        <w:tc>
          <w:tcPr>
            <w:tcW w:w="880" w:type="dxa"/>
            <w:vAlign w:val="bottom"/>
            <w:tcBorders>
              <w:bottom w:val="single" w:sz="8" w:color="949599"/>
            </w:tcBorders>
          </w:tcPr>
          <w:p>
            <w:pPr>
              <w:spacing w:after="0"/>
              <w:rPr>
                <w:sz w:val="17"/>
                <w:szCs w:val="17"/>
                <w:color w:val="auto"/>
              </w:rPr>
            </w:pPr>
          </w:p>
        </w:tc>
        <w:tc>
          <w:tcPr>
            <w:tcW w:w="60" w:type="dxa"/>
            <w:vAlign w:val="bottom"/>
            <w:tcBorders>
              <w:bottom w:val="single" w:sz="8" w:color="949599"/>
            </w:tcBorders>
          </w:tcPr>
          <w:p>
            <w:pPr>
              <w:spacing w:after="0"/>
              <w:rPr>
                <w:sz w:val="17"/>
                <w:szCs w:val="17"/>
                <w:color w:val="auto"/>
              </w:rPr>
            </w:pPr>
          </w:p>
        </w:tc>
        <w:tc>
          <w:tcPr>
            <w:tcW w:w="560" w:type="dxa"/>
            <w:vAlign w:val="bottom"/>
            <w:tcBorders>
              <w:bottom w:val="single" w:sz="8" w:color="949599"/>
            </w:tcBorders>
          </w:tcPr>
          <w:p>
            <w:pPr>
              <w:spacing w:after="0"/>
              <w:rPr>
                <w:sz w:val="17"/>
                <w:szCs w:val="17"/>
                <w:color w:val="auto"/>
              </w:rPr>
            </w:pPr>
          </w:p>
        </w:tc>
        <w:tc>
          <w:tcPr>
            <w:tcW w:w="80" w:type="dxa"/>
            <w:vAlign w:val="bottom"/>
            <w:tcBorders>
              <w:bottom w:val="single" w:sz="8" w:color="949599"/>
            </w:tcBorders>
          </w:tcPr>
          <w:p>
            <w:pPr>
              <w:spacing w:after="0"/>
              <w:rPr>
                <w:sz w:val="17"/>
                <w:szCs w:val="17"/>
                <w:color w:val="auto"/>
              </w:rPr>
            </w:pPr>
          </w:p>
        </w:tc>
        <w:tc>
          <w:tcPr>
            <w:tcW w:w="740" w:type="dxa"/>
            <w:vAlign w:val="bottom"/>
            <w:tcBorders>
              <w:bottom w:val="single" w:sz="8" w:color="949599"/>
            </w:tcBorders>
          </w:tcPr>
          <w:p>
            <w:pPr>
              <w:spacing w:after="0"/>
              <w:rPr>
                <w:sz w:val="17"/>
                <w:szCs w:val="17"/>
                <w:color w:val="auto"/>
              </w:rPr>
            </w:pPr>
          </w:p>
        </w:tc>
        <w:tc>
          <w:tcPr>
            <w:tcW w:w="78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13,813</w:t>
            </w:r>
          </w:p>
        </w:tc>
        <w:tc>
          <w:tcPr>
            <w:tcW w:w="80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3,537,647</w:t>
            </w:r>
          </w:p>
        </w:tc>
        <w:tc>
          <w:tcPr>
            <w:tcW w:w="116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18,333</w:t>
            </w:r>
          </w:p>
        </w:tc>
        <w:tc>
          <w:tcPr>
            <w:tcW w:w="114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4,695,265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720" w:type="dxa"/>
            <w:vAlign w:val="bottom"/>
            <w:tcBorders>
              <w:bottom w:val="single" w:sz="8" w:color="949599"/>
            </w:tcBorders>
          </w:tcPr>
          <w:p>
            <w:pPr>
              <w:jc w:val="right"/>
              <w:ind w:right="11"/>
              <w:spacing w:after="0"/>
              <w:rPr>
                <w:sz w:val="20"/>
                <w:szCs w:val="20"/>
                <w:color w:val="auto"/>
              </w:rPr>
            </w:pPr>
            <w:r>
              <w:rPr>
                <w:rFonts w:ascii="Arial" w:cs="Arial" w:eastAsia="Arial" w:hAnsi="Arial"/>
                <w:sz w:val="14"/>
                <w:szCs w:val="14"/>
                <w:color w:val="auto"/>
                <w:w w:val="99"/>
              </w:rPr>
              <w:t>12/1/2011</w:t>
            </w:r>
          </w:p>
        </w:tc>
        <w:tc>
          <w:tcPr>
            <w:tcW w:w="76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6,803</w:t>
            </w:r>
          </w:p>
        </w:tc>
        <w:tc>
          <w:tcPr>
            <w:tcW w:w="880" w:type="dxa"/>
            <w:vAlign w:val="bottom"/>
            <w:tcBorders>
              <w:bottom w:val="single" w:sz="8" w:color="949599"/>
            </w:tcBorders>
          </w:tcPr>
          <w:p>
            <w:pPr>
              <w:jc w:val="center"/>
              <w:spacing w:after="0"/>
              <w:rPr>
                <w:sz w:val="20"/>
                <w:szCs w:val="20"/>
                <w:color w:val="auto"/>
              </w:rPr>
            </w:pPr>
            <w:r>
              <w:rPr>
                <w:rFonts w:ascii="Arial" w:cs="Arial" w:eastAsia="Arial" w:hAnsi="Arial"/>
                <w:sz w:val="14"/>
                <w:szCs w:val="14"/>
                <w:color w:val="auto"/>
              </w:rPr>
              <w:t>0</w:t>
            </w:r>
          </w:p>
        </w:tc>
        <w:tc>
          <w:tcPr>
            <w:tcW w:w="60" w:type="dxa"/>
            <w:vAlign w:val="bottom"/>
            <w:tcBorders>
              <w:bottom w:val="single" w:sz="8" w:color="949599"/>
            </w:tcBorders>
          </w:tcPr>
          <w:p>
            <w:pPr>
              <w:spacing w:after="0"/>
              <w:rPr>
                <w:sz w:val="17"/>
                <w:szCs w:val="17"/>
                <w:color w:val="auto"/>
              </w:rPr>
            </w:pPr>
          </w:p>
        </w:tc>
        <w:tc>
          <w:tcPr>
            <w:tcW w:w="640" w:type="dxa"/>
            <w:vAlign w:val="bottom"/>
            <w:tcBorders>
              <w:bottom w:val="single" w:sz="8" w:color="949599"/>
            </w:tcBorders>
            <w:gridSpan w:val="2"/>
          </w:tcPr>
          <w:p>
            <w:pPr>
              <w:jc w:val="right"/>
              <w:ind w:right="80"/>
              <w:spacing w:after="0"/>
              <w:rPr>
                <w:sz w:val="20"/>
                <w:szCs w:val="20"/>
                <w:color w:val="auto"/>
              </w:rPr>
            </w:pPr>
            <w:r>
              <w:rPr>
                <w:rFonts w:ascii="Arial" w:cs="Arial" w:eastAsia="Arial" w:hAnsi="Arial"/>
                <w:sz w:val="14"/>
                <w:szCs w:val="14"/>
                <w:color w:val="auto"/>
              </w:rPr>
              <w:t>77.16</w:t>
            </w:r>
          </w:p>
        </w:tc>
        <w:tc>
          <w:tcPr>
            <w:tcW w:w="740" w:type="dxa"/>
            <w:vAlign w:val="bottom"/>
            <w:tcBorders>
              <w:bottom w:val="single" w:sz="8" w:color="949599"/>
            </w:tcBorders>
          </w:tcPr>
          <w:p>
            <w:pPr>
              <w:jc w:val="right"/>
              <w:ind w:right="32"/>
              <w:spacing w:after="0"/>
              <w:rPr>
                <w:sz w:val="20"/>
                <w:szCs w:val="20"/>
                <w:color w:val="auto"/>
              </w:rPr>
            </w:pPr>
            <w:r>
              <w:rPr>
                <w:rFonts w:ascii="Arial" w:cs="Arial" w:eastAsia="Arial" w:hAnsi="Arial"/>
                <w:sz w:val="14"/>
                <w:szCs w:val="14"/>
                <w:color w:val="auto"/>
                <w:w w:val="99"/>
              </w:rPr>
              <w:t>12/1/2021</w:t>
            </w:r>
          </w:p>
        </w:tc>
        <w:tc>
          <w:tcPr>
            <w:tcW w:w="780" w:type="dxa"/>
            <w:vAlign w:val="bottom"/>
            <w:tcBorders>
              <w:bottom w:val="single" w:sz="8" w:color="949599"/>
            </w:tcBorders>
          </w:tcPr>
          <w:p>
            <w:pPr>
              <w:spacing w:after="0"/>
              <w:rPr>
                <w:sz w:val="17"/>
                <w:szCs w:val="17"/>
                <w:color w:val="auto"/>
              </w:rPr>
            </w:pPr>
          </w:p>
        </w:tc>
        <w:tc>
          <w:tcPr>
            <w:tcW w:w="800" w:type="dxa"/>
            <w:vAlign w:val="bottom"/>
            <w:tcBorders>
              <w:bottom w:val="single" w:sz="8" w:color="949599"/>
            </w:tcBorders>
          </w:tcPr>
          <w:p>
            <w:pPr>
              <w:spacing w:after="0"/>
              <w:rPr>
                <w:sz w:val="17"/>
                <w:szCs w:val="17"/>
                <w:color w:val="auto"/>
              </w:rPr>
            </w:pPr>
          </w:p>
        </w:tc>
        <w:tc>
          <w:tcPr>
            <w:tcW w:w="1160" w:type="dxa"/>
            <w:vAlign w:val="bottom"/>
            <w:tcBorders>
              <w:bottom w:val="single" w:sz="8" w:color="949599"/>
            </w:tcBorders>
          </w:tcPr>
          <w:p>
            <w:pPr>
              <w:spacing w:after="0"/>
              <w:rPr>
                <w:sz w:val="17"/>
                <w:szCs w:val="17"/>
                <w:color w:val="auto"/>
              </w:rPr>
            </w:pPr>
          </w:p>
        </w:tc>
        <w:tc>
          <w:tcPr>
            <w:tcW w:w="1140" w:type="dxa"/>
            <w:vAlign w:val="bottom"/>
            <w:tcBorders>
              <w:bottom w:val="single" w:sz="8" w:color="949599"/>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720" w:type="dxa"/>
            <w:vAlign w:val="bottom"/>
            <w:tcBorders>
              <w:bottom w:val="single" w:sz="8" w:color="949599"/>
            </w:tcBorders>
          </w:tcPr>
          <w:p>
            <w:pPr>
              <w:jc w:val="right"/>
              <w:ind w:right="11"/>
              <w:spacing w:after="0"/>
              <w:rPr>
                <w:sz w:val="20"/>
                <w:szCs w:val="20"/>
                <w:color w:val="auto"/>
              </w:rPr>
            </w:pPr>
            <w:r>
              <w:rPr>
                <w:rFonts w:ascii="Arial" w:cs="Arial" w:eastAsia="Arial" w:hAnsi="Arial"/>
                <w:sz w:val="14"/>
                <w:szCs w:val="14"/>
                <w:color w:val="auto"/>
                <w:w w:val="99"/>
              </w:rPr>
              <w:t>12/3/2012</w:t>
            </w:r>
          </w:p>
        </w:tc>
        <w:tc>
          <w:tcPr>
            <w:tcW w:w="76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14,271</w:t>
            </w:r>
          </w:p>
        </w:tc>
        <w:tc>
          <w:tcPr>
            <w:tcW w:w="880" w:type="dxa"/>
            <w:vAlign w:val="bottom"/>
            <w:tcBorders>
              <w:bottom w:val="single" w:sz="8" w:color="949599"/>
            </w:tcBorders>
          </w:tcPr>
          <w:p>
            <w:pPr>
              <w:jc w:val="center"/>
              <w:spacing w:after="0"/>
              <w:rPr>
                <w:sz w:val="20"/>
                <w:szCs w:val="20"/>
                <w:color w:val="auto"/>
              </w:rPr>
            </w:pPr>
            <w:r>
              <w:rPr>
                <w:rFonts w:ascii="Arial" w:cs="Arial" w:eastAsia="Arial" w:hAnsi="Arial"/>
                <w:sz w:val="14"/>
                <w:szCs w:val="14"/>
                <w:color w:val="auto"/>
              </w:rPr>
              <w:t>0</w:t>
            </w:r>
          </w:p>
        </w:tc>
        <w:tc>
          <w:tcPr>
            <w:tcW w:w="60" w:type="dxa"/>
            <w:vAlign w:val="bottom"/>
            <w:tcBorders>
              <w:bottom w:val="single" w:sz="8" w:color="949599"/>
            </w:tcBorders>
          </w:tcPr>
          <w:p>
            <w:pPr>
              <w:spacing w:after="0"/>
              <w:rPr>
                <w:sz w:val="17"/>
                <w:szCs w:val="17"/>
                <w:color w:val="auto"/>
              </w:rPr>
            </w:pPr>
          </w:p>
        </w:tc>
        <w:tc>
          <w:tcPr>
            <w:tcW w:w="640" w:type="dxa"/>
            <w:vAlign w:val="bottom"/>
            <w:tcBorders>
              <w:bottom w:val="single" w:sz="8" w:color="949599"/>
            </w:tcBorders>
            <w:gridSpan w:val="2"/>
          </w:tcPr>
          <w:p>
            <w:pPr>
              <w:jc w:val="right"/>
              <w:ind w:right="80"/>
              <w:spacing w:after="0"/>
              <w:rPr>
                <w:sz w:val="20"/>
                <w:szCs w:val="20"/>
                <w:color w:val="auto"/>
              </w:rPr>
            </w:pPr>
            <w:r>
              <w:rPr>
                <w:rFonts w:ascii="Arial" w:cs="Arial" w:eastAsia="Arial" w:hAnsi="Arial"/>
                <w:sz w:val="14"/>
                <w:szCs w:val="14"/>
                <w:color w:val="auto"/>
              </w:rPr>
              <w:t>76.17</w:t>
            </w:r>
          </w:p>
        </w:tc>
        <w:tc>
          <w:tcPr>
            <w:tcW w:w="740" w:type="dxa"/>
            <w:vAlign w:val="bottom"/>
            <w:tcBorders>
              <w:bottom w:val="single" w:sz="8" w:color="949599"/>
            </w:tcBorders>
          </w:tcPr>
          <w:p>
            <w:pPr>
              <w:jc w:val="right"/>
              <w:ind w:right="32"/>
              <w:spacing w:after="0"/>
              <w:rPr>
                <w:sz w:val="20"/>
                <w:szCs w:val="20"/>
                <w:color w:val="auto"/>
              </w:rPr>
            </w:pPr>
            <w:r>
              <w:rPr>
                <w:rFonts w:ascii="Arial" w:cs="Arial" w:eastAsia="Arial" w:hAnsi="Arial"/>
                <w:sz w:val="14"/>
                <w:szCs w:val="14"/>
                <w:color w:val="auto"/>
                <w:w w:val="99"/>
              </w:rPr>
              <w:t>12/3/2022</w:t>
            </w:r>
          </w:p>
        </w:tc>
        <w:tc>
          <w:tcPr>
            <w:tcW w:w="780" w:type="dxa"/>
            <w:vAlign w:val="bottom"/>
            <w:tcBorders>
              <w:bottom w:val="single" w:sz="8" w:color="949599"/>
            </w:tcBorders>
          </w:tcPr>
          <w:p>
            <w:pPr>
              <w:spacing w:after="0"/>
              <w:rPr>
                <w:sz w:val="17"/>
                <w:szCs w:val="17"/>
                <w:color w:val="auto"/>
              </w:rPr>
            </w:pPr>
          </w:p>
        </w:tc>
        <w:tc>
          <w:tcPr>
            <w:tcW w:w="800" w:type="dxa"/>
            <w:vAlign w:val="bottom"/>
            <w:tcBorders>
              <w:bottom w:val="single" w:sz="8" w:color="949599"/>
            </w:tcBorders>
          </w:tcPr>
          <w:p>
            <w:pPr>
              <w:spacing w:after="0"/>
              <w:rPr>
                <w:sz w:val="17"/>
                <w:szCs w:val="17"/>
                <w:color w:val="auto"/>
              </w:rPr>
            </w:pPr>
          </w:p>
        </w:tc>
        <w:tc>
          <w:tcPr>
            <w:tcW w:w="1160" w:type="dxa"/>
            <w:vAlign w:val="bottom"/>
            <w:tcBorders>
              <w:bottom w:val="single" w:sz="8" w:color="949599"/>
            </w:tcBorders>
          </w:tcPr>
          <w:p>
            <w:pPr>
              <w:spacing w:after="0"/>
              <w:rPr>
                <w:sz w:val="17"/>
                <w:szCs w:val="17"/>
                <w:color w:val="auto"/>
              </w:rPr>
            </w:pPr>
          </w:p>
        </w:tc>
        <w:tc>
          <w:tcPr>
            <w:tcW w:w="1140" w:type="dxa"/>
            <w:vAlign w:val="bottom"/>
            <w:tcBorders>
              <w:bottom w:val="single" w:sz="8" w:color="949599"/>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720" w:type="dxa"/>
            <w:vAlign w:val="bottom"/>
            <w:tcBorders>
              <w:bottom w:val="single" w:sz="8" w:color="949599"/>
            </w:tcBorders>
          </w:tcPr>
          <w:p>
            <w:pPr>
              <w:jc w:val="right"/>
              <w:ind w:right="11"/>
              <w:spacing w:after="0"/>
              <w:rPr>
                <w:sz w:val="20"/>
                <w:szCs w:val="20"/>
                <w:color w:val="auto"/>
              </w:rPr>
            </w:pPr>
            <w:r>
              <w:rPr>
                <w:rFonts w:ascii="Arial" w:cs="Arial" w:eastAsia="Arial" w:hAnsi="Arial"/>
                <w:sz w:val="14"/>
                <w:szCs w:val="14"/>
                <w:color w:val="auto"/>
                <w:w w:val="99"/>
              </w:rPr>
              <w:t>12/2/2013</w:t>
            </w:r>
          </w:p>
        </w:tc>
        <w:tc>
          <w:tcPr>
            <w:tcW w:w="76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18,082</w:t>
            </w:r>
          </w:p>
        </w:tc>
        <w:tc>
          <w:tcPr>
            <w:tcW w:w="880" w:type="dxa"/>
            <w:vAlign w:val="bottom"/>
            <w:tcBorders>
              <w:bottom w:val="single" w:sz="8" w:color="949599"/>
            </w:tcBorders>
          </w:tcPr>
          <w:p>
            <w:pPr>
              <w:jc w:val="center"/>
              <w:spacing w:after="0"/>
              <w:rPr>
                <w:sz w:val="20"/>
                <w:szCs w:val="20"/>
                <w:color w:val="auto"/>
              </w:rPr>
            </w:pPr>
            <w:r>
              <w:rPr>
                <w:rFonts w:ascii="Arial" w:cs="Arial" w:eastAsia="Arial" w:hAnsi="Arial"/>
                <w:sz w:val="14"/>
                <w:szCs w:val="14"/>
                <w:color w:val="auto"/>
              </w:rPr>
              <w:t>0</w:t>
            </w:r>
          </w:p>
        </w:tc>
        <w:tc>
          <w:tcPr>
            <w:tcW w:w="60" w:type="dxa"/>
            <w:vAlign w:val="bottom"/>
            <w:tcBorders>
              <w:bottom w:val="single" w:sz="8" w:color="949599"/>
            </w:tcBorders>
          </w:tcPr>
          <w:p>
            <w:pPr>
              <w:spacing w:after="0"/>
              <w:rPr>
                <w:sz w:val="17"/>
                <w:szCs w:val="17"/>
                <w:color w:val="auto"/>
              </w:rPr>
            </w:pPr>
          </w:p>
        </w:tc>
        <w:tc>
          <w:tcPr>
            <w:tcW w:w="640" w:type="dxa"/>
            <w:vAlign w:val="bottom"/>
            <w:tcBorders>
              <w:bottom w:val="single" w:sz="8" w:color="949599"/>
            </w:tcBorders>
            <w:gridSpan w:val="2"/>
          </w:tcPr>
          <w:p>
            <w:pPr>
              <w:jc w:val="right"/>
              <w:ind w:right="80"/>
              <w:spacing w:after="0"/>
              <w:rPr>
                <w:sz w:val="20"/>
                <w:szCs w:val="20"/>
                <w:color w:val="auto"/>
              </w:rPr>
            </w:pPr>
            <w:r>
              <w:rPr>
                <w:rFonts w:ascii="Arial" w:cs="Arial" w:eastAsia="Arial" w:hAnsi="Arial"/>
                <w:sz w:val="14"/>
                <w:szCs w:val="14"/>
                <w:color w:val="auto"/>
              </w:rPr>
              <w:t>100.55</w:t>
            </w:r>
          </w:p>
        </w:tc>
        <w:tc>
          <w:tcPr>
            <w:tcW w:w="740" w:type="dxa"/>
            <w:vAlign w:val="bottom"/>
            <w:tcBorders>
              <w:bottom w:val="single" w:sz="8" w:color="949599"/>
            </w:tcBorders>
          </w:tcPr>
          <w:p>
            <w:pPr>
              <w:jc w:val="right"/>
              <w:ind w:right="32"/>
              <w:spacing w:after="0"/>
              <w:rPr>
                <w:sz w:val="20"/>
                <w:szCs w:val="20"/>
                <w:color w:val="auto"/>
              </w:rPr>
            </w:pPr>
            <w:r>
              <w:rPr>
                <w:rFonts w:ascii="Arial" w:cs="Arial" w:eastAsia="Arial" w:hAnsi="Arial"/>
                <w:sz w:val="14"/>
                <w:szCs w:val="14"/>
                <w:color w:val="auto"/>
                <w:w w:val="99"/>
              </w:rPr>
              <w:t>12/2/2023</w:t>
            </w:r>
          </w:p>
        </w:tc>
        <w:tc>
          <w:tcPr>
            <w:tcW w:w="780" w:type="dxa"/>
            <w:vAlign w:val="bottom"/>
            <w:tcBorders>
              <w:bottom w:val="single" w:sz="8" w:color="949599"/>
            </w:tcBorders>
          </w:tcPr>
          <w:p>
            <w:pPr>
              <w:spacing w:after="0"/>
              <w:rPr>
                <w:sz w:val="17"/>
                <w:szCs w:val="17"/>
                <w:color w:val="auto"/>
              </w:rPr>
            </w:pPr>
          </w:p>
        </w:tc>
        <w:tc>
          <w:tcPr>
            <w:tcW w:w="800" w:type="dxa"/>
            <w:vAlign w:val="bottom"/>
            <w:tcBorders>
              <w:bottom w:val="single" w:sz="8" w:color="949599"/>
            </w:tcBorders>
          </w:tcPr>
          <w:p>
            <w:pPr>
              <w:spacing w:after="0"/>
              <w:rPr>
                <w:sz w:val="17"/>
                <w:szCs w:val="17"/>
                <w:color w:val="auto"/>
              </w:rPr>
            </w:pPr>
          </w:p>
        </w:tc>
        <w:tc>
          <w:tcPr>
            <w:tcW w:w="1160" w:type="dxa"/>
            <w:vAlign w:val="bottom"/>
            <w:tcBorders>
              <w:bottom w:val="single" w:sz="8" w:color="949599"/>
            </w:tcBorders>
          </w:tcPr>
          <w:p>
            <w:pPr>
              <w:spacing w:after="0"/>
              <w:rPr>
                <w:sz w:val="17"/>
                <w:szCs w:val="17"/>
                <w:color w:val="auto"/>
              </w:rPr>
            </w:pPr>
          </w:p>
        </w:tc>
        <w:tc>
          <w:tcPr>
            <w:tcW w:w="1140" w:type="dxa"/>
            <w:vAlign w:val="bottom"/>
            <w:tcBorders>
              <w:bottom w:val="single" w:sz="8" w:color="949599"/>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Borders>
              <w:bottom w:val="single" w:sz="8" w:color="949599"/>
            </w:tcBorders>
          </w:tcPr>
          <w:p>
            <w:pPr>
              <w:spacing w:after="0"/>
              <w:rPr>
                <w:sz w:val="17"/>
                <w:szCs w:val="17"/>
                <w:color w:val="auto"/>
              </w:rPr>
            </w:pPr>
          </w:p>
        </w:tc>
        <w:tc>
          <w:tcPr>
            <w:tcW w:w="720" w:type="dxa"/>
            <w:vAlign w:val="bottom"/>
            <w:tcBorders>
              <w:bottom w:val="single" w:sz="8" w:color="949599"/>
            </w:tcBorders>
          </w:tcPr>
          <w:p>
            <w:pPr>
              <w:jc w:val="right"/>
              <w:ind w:right="11"/>
              <w:spacing w:after="0"/>
              <w:rPr>
                <w:sz w:val="20"/>
                <w:szCs w:val="20"/>
                <w:color w:val="auto"/>
              </w:rPr>
            </w:pPr>
            <w:r>
              <w:rPr>
                <w:rFonts w:ascii="Arial" w:cs="Arial" w:eastAsia="Arial" w:hAnsi="Arial"/>
                <w:sz w:val="14"/>
                <w:szCs w:val="14"/>
                <w:color w:val="auto"/>
                <w:w w:val="99"/>
              </w:rPr>
              <w:t>12/1/2014</w:t>
            </w:r>
          </w:p>
        </w:tc>
        <w:tc>
          <w:tcPr>
            <w:tcW w:w="76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7,432</w:t>
            </w:r>
          </w:p>
        </w:tc>
        <w:tc>
          <w:tcPr>
            <w:tcW w:w="880" w:type="dxa"/>
            <w:vAlign w:val="bottom"/>
            <w:tcBorders>
              <w:bottom w:val="single" w:sz="8" w:color="949599"/>
            </w:tcBorders>
          </w:tcPr>
          <w:p>
            <w:pPr>
              <w:jc w:val="center"/>
              <w:spacing w:after="0"/>
              <w:rPr>
                <w:sz w:val="20"/>
                <w:szCs w:val="20"/>
                <w:color w:val="auto"/>
              </w:rPr>
            </w:pPr>
            <w:r>
              <w:rPr>
                <w:rFonts w:ascii="Arial" w:cs="Arial" w:eastAsia="Arial" w:hAnsi="Arial"/>
                <w:sz w:val="14"/>
                <w:szCs w:val="14"/>
                <w:color w:val="auto"/>
              </w:rPr>
              <w:t>0</w:t>
            </w:r>
          </w:p>
        </w:tc>
        <w:tc>
          <w:tcPr>
            <w:tcW w:w="60" w:type="dxa"/>
            <w:vAlign w:val="bottom"/>
            <w:tcBorders>
              <w:bottom w:val="single" w:sz="8" w:color="949599"/>
            </w:tcBorders>
          </w:tcPr>
          <w:p>
            <w:pPr>
              <w:spacing w:after="0"/>
              <w:rPr>
                <w:sz w:val="17"/>
                <w:szCs w:val="17"/>
                <w:color w:val="auto"/>
              </w:rPr>
            </w:pPr>
          </w:p>
        </w:tc>
        <w:tc>
          <w:tcPr>
            <w:tcW w:w="640" w:type="dxa"/>
            <w:vAlign w:val="bottom"/>
            <w:tcBorders>
              <w:bottom w:val="single" w:sz="8" w:color="949599"/>
            </w:tcBorders>
            <w:gridSpan w:val="2"/>
          </w:tcPr>
          <w:p>
            <w:pPr>
              <w:jc w:val="right"/>
              <w:ind w:right="80"/>
              <w:spacing w:after="0"/>
              <w:rPr>
                <w:sz w:val="20"/>
                <w:szCs w:val="20"/>
                <w:color w:val="auto"/>
              </w:rPr>
            </w:pPr>
            <w:r>
              <w:rPr>
                <w:rFonts w:ascii="Arial" w:cs="Arial" w:eastAsia="Arial" w:hAnsi="Arial"/>
                <w:sz w:val="14"/>
                <w:szCs w:val="14"/>
                <w:color w:val="auto"/>
              </w:rPr>
              <w:t>134.54</w:t>
            </w:r>
          </w:p>
        </w:tc>
        <w:tc>
          <w:tcPr>
            <w:tcW w:w="740" w:type="dxa"/>
            <w:vAlign w:val="bottom"/>
            <w:tcBorders>
              <w:bottom w:val="single" w:sz="8" w:color="949599"/>
            </w:tcBorders>
          </w:tcPr>
          <w:p>
            <w:pPr>
              <w:jc w:val="right"/>
              <w:ind w:right="32"/>
              <w:spacing w:after="0"/>
              <w:rPr>
                <w:sz w:val="20"/>
                <w:szCs w:val="20"/>
                <w:color w:val="auto"/>
              </w:rPr>
            </w:pPr>
            <w:r>
              <w:rPr>
                <w:rFonts w:ascii="Arial" w:cs="Arial" w:eastAsia="Arial" w:hAnsi="Arial"/>
                <w:sz w:val="14"/>
                <w:szCs w:val="14"/>
                <w:color w:val="auto"/>
                <w:w w:val="99"/>
              </w:rPr>
              <w:t>12/1/2024</w:t>
            </w:r>
          </w:p>
        </w:tc>
        <w:tc>
          <w:tcPr>
            <w:tcW w:w="780" w:type="dxa"/>
            <w:vAlign w:val="bottom"/>
            <w:tcBorders>
              <w:bottom w:val="single" w:sz="8" w:color="949599"/>
            </w:tcBorders>
          </w:tcPr>
          <w:p>
            <w:pPr>
              <w:spacing w:after="0"/>
              <w:rPr>
                <w:sz w:val="17"/>
                <w:szCs w:val="17"/>
                <w:color w:val="auto"/>
              </w:rPr>
            </w:pPr>
          </w:p>
        </w:tc>
        <w:tc>
          <w:tcPr>
            <w:tcW w:w="800" w:type="dxa"/>
            <w:vAlign w:val="bottom"/>
            <w:tcBorders>
              <w:bottom w:val="single" w:sz="8" w:color="949599"/>
            </w:tcBorders>
          </w:tcPr>
          <w:p>
            <w:pPr>
              <w:spacing w:after="0"/>
              <w:rPr>
                <w:sz w:val="17"/>
                <w:szCs w:val="17"/>
                <w:color w:val="auto"/>
              </w:rPr>
            </w:pPr>
          </w:p>
        </w:tc>
        <w:tc>
          <w:tcPr>
            <w:tcW w:w="1160" w:type="dxa"/>
            <w:vAlign w:val="bottom"/>
            <w:tcBorders>
              <w:bottom w:val="single" w:sz="8" w:color="949599"/>
            </w:tcBorders>
          </w:tcPr>
          <w:p>
            <w:pPr>
              <w:spacing w:after="0"/>
              <w:rPr>
                <w:sz w:val="17"/>
                <w:szCs w:val="17"/>
                <w:color w:val="auto"/>
              </w:rPr>
            </w:pPr>
          </w:p>
        </w:tc>
        <w:tc>
          <w:tcPr>
            <w:tcW w:w="1140" w:type="dxa"/>
            <w:vAlign w:val="bottom"/>
            <w:tcBorders>
              <w:bottom w:val="single" w:sz="8" w:color="949599"/>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Borders>
              <w:bottom w:val="single" w:sz="8" w:color="949599"/>
            </w:tcBorders>
          </w:tcPr>
          <w:p>
            <w:pPr>
              <w:ind w:left="80"/>
              <w:spacing w:after="0"/>
              <w:rPr>
                <w:sz w:val="20"/>
                <w:szCs w:val="20"/>
                <w:color w:val="auto"/>
              </w:rPr>
            </w:pPr>
            <w:r>
              <w:rPr>
                <w:rFonts w:ascii="Arial" w:cs="Arial" w:eastAsia="Arial" w:hAnsi="Arial"/>
                <w:sz w:val="14"/>
                <w:szCs w:val="14"/>
                <w:b w:val="1"/>
                <w:bCs w:val="1"/>
                <w:color w:val="009A4B"/>
              </w:rPr>
              <w:t>Sean D. Major</w:t>
            </w:r>
          </w:p>
        </w:tc>
        <w:tc>
          <w:tcPr>
            <w:tcW w:w="720" w:type="dxa"/>
            <w:vAlign w:val="bottom"/>
            <w:tcBorders>
              <w:bottom w:val="single" w:sz="8" w:color="949599"/>
            </w:tcBorders>
          </w:tcPr>
          <w:p>
            <w:pPr>
              <w:spacing w:after="0"/>
              <w:rPr>
                <w:sz w:val="17"/>
                <w:szCs w:val="17"/>
                <w:color w:val="auto"/>
              </w:rPr>
            </w:pPr>
          </w:p>
        </w:tc>
        <w:tc>
          <w:tcPr>
            <w:tcW w:w="760" w:type="dxa"/>
            <w:vAlign w:val="bottom"/>
            <w:tcBorders>
              <w:bottom w:val="single" w:sz="8" w:color="949599"/>
            </w:tcBorders>
          </w:tcPr>
          <w:p>
            <w:pPr>
              <w:spacing w:after="0"/>
              <w:rPr>
                <w:sz w:val="17"/>
                <w:szCs w:val="17"/>
                <w:color w:val="auto"/>
              </w:rPr>
            </w:pPr>
          </w:p>
        </w:tc>
        <w:tc>
          <w:tcPr>
            <w:tcW w:w="880" w:type="dxa"/>
            <w:vAlign w:val="bottom"/>
            <w:tcBorders>
              <w:bottom w:val="single" w:sz="8" w:color="949599"/>
            </w:tcBorders>
          </w:tcPr>
          <w:p>
            <w:pPr>
              <w:spacing w:after="0"/>
              <w:rPr>
                <w:sz w:val="17"/>
                <w:szCs w:val="17"/>
                <w:color w:val="auto"/>
              </w:rPr>
            </w:pPr>
          </w:p>
        </w:tc>
        <w:tc>
          <w:tcPr>
            <w:tcW w:w="60" w:type="dxa"/>
            <w:vAlign w:val="bottom"/>
            <w:tcBorders>
              <w:bottom w:val="single" w:sz="8" w:color="949599"/>
            </w:tcBorders>
          </w:tcPr>
          <w:p>
            <w:pPr>
              <w:spacing w:after="0"/>
              <w:rPr>
                <w:sz w:val="17"/>
                <w:szCs w:val="17"/>
                <w:color w:val="auto"/>
              </w:rPr>
            </w:pPr>
          </w:p>
        </w:tc>
        <w:tc>
          <w:tcPr>
            <w:tcW w:w="560" w:type="dxa"/>
            <w:vAlign w:val="bottom"/>
            <w:tcBorders>
              <w:bottom w:val="single" w:sz="8" w:color="949599"/>
            </w:tcBorders>
          </w:tcPr>
          <w:p>
            <w:pPr>
              <w:spacing w:after="0"/>
              <w:rPr>
                <w:sz w:val="17"/>
                <w:szCs w:val="17"/>
                <w:color w:val="auto"/>
              </w:rPr>
            </w:pPr>
          </w:p>
        </w:tc>
        <w:tc>
          <w:tcPr>
            <w:tcW w:w="80" w:type="dxa"/>
            <w:vAlign w:val="bottom"/>
            <w:tcBorders>
              <w:bottom w:val="single" w:sz="8" w:color="949599"/>
            </w:tcBorders>
          </w:tcPr>
          <w:p>
            <w:pPr>
              <w:spacing w:after="0"/>
              <w:rPr>
                <w:sz w:val="17"/>
                <w:szCs w:val="17"/>
                <w:color w:val="auto"/>
              </w:rPr>
            </w:pPr>
          </w:p>
        </w:tc>
        <w:tc>
          <w:tcPr>
            <w:tcW w:w="740" w:type="dxa"/>
            <w:vAlign w:val="bottom"/>
            <w:tcBorders>
              <w:bottom w:val="single" w:sz="8" w:color="949599"/>
            </w:tcBorders>
          </w:tcPr>
          <w:p>
            <w:pPr>
              <w:spacing w:after="0"/>
              <w:rPr>
                <w:sz w:val="17"/>
                <w:szCs w:val="17"/>
                <w:color w:val="auto"/>
              </w:rPr>
            </w:pPr>
          </w:p>
        </w:tc>
        <w:tc>
          <w:tcPr>
            <w:tcW w:w="78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9,382</w:t>
            </w:r>
          </w:p>
        </w:tc>
        <w:tc>
          <w:tcPr>
            <w:tcW w:w="80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2,402,824</w:t>
            </w:r>
          </w:p>
        </w:tc>
        <w:tc>
          <w:tcPr>
            <w:tcW w:w="116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12,669</w:t>
            </w:r>
          </w:p>
        </w:tc>
        <w:tc>
          <w:tcPr>
            <w:tcW w:w="114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3,244,658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9A4B"/>
              </w:rPr>
              <w:t>Samir J. Serhan</w:t>
            </w:r>
          </w:p>
        </w:tc>
        <w:tc>
          <w:tcPr>
            <w:tcW w:w="7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15,665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4,011,963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18,991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4,863,785</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460" w:right="40" w:hanging="454"/>
        <w:spacing w:after="0" w:line="222" w:lineRule="auto"/>
        <w:tabs>
          <w:tab w:leader="none" w:pos="460" w:val="left"/>
        </w:tabs>
        <w:numPr>
          <w:ilvl w:val="0"/>
          <w:numId w:val="56"/>
        </w:numPr>
        <w:rPr>
          <w:rFonts w:ascii="Arial" w:cs="Arial" w:eastAsia="Arial" w:hAnsi="Arial"/>
          <w:sz w:val="24"/>
          <w:szCs w:val="24"/>
          <w:color w:val="auto"/>
          <w:vertAlign w:val="superscript"/>
        </w:rPr>
      </w:pPr>
      <w:r>
        <w:rPr>
          <w:rFonts w:ascii="Arial" w:cs="Arial" w:eastAsia="Arial" w:hAnsi="Arial"/>
          <w:sz w:val="14"/>
          <w:szCs w:val="14"/>
          <w:color w:val="auto"/>
        </w:rPr>
        <w:t>Grant dates for all stock options are shown in the first column. All stock options have an exercise price equal to the closing market value on the grant date and became exercisable in three consecutive, equal installments on the first, second and third anniversary of the grant date. They generally remain exercisable until 10 years after the grant date; however, except as described below, exercisable options generally expire 90 days after a voluntary termination of employment. Options granted more than one year prior to an executive officer’s termination due to death, disability or retirement continue to become and remain exercisable for their full term. If an executive officer’s termination is covered by the Executive Separation Program described on pages 55-56, the terms of that Program regarding treatment of equity compensation will apply. Mr. Ghasemi’s Employment Agreement provides that, upon his death, disability, involuntary termination without “cause”, voluntary termination for “good reason” or the conclusion of the term of his Employment Agreement, his options will not terminate but will continue to become and be exercisable through the end of their term. (See page 56 for the definition of these terms under his Employment Agreement). Stock options are subject to special vesting rules upon a change in control of the Company as described on pages 58-59.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84455</wp:posOffset>
            </wp:positionV>
            <wp:extent cx="845185" cy="202565"/>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845185" cy="20256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7155180" cy="20955"/>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p>
      <w:pPr>
        <w:ind w:left="320" w:right="60" w:hanging="314"/>
        <w:spacing w:after="0" w:line="211" w:lineRule="auto"/>
        <w:tabs>
          <w:tab w:leader="none" w:pos="320" w:val="left"/>
        </w:tabs>
        <w:numPr>
          <w:ilvl w:val="0"/>
          <w:numId w:val="57"/>
        </w:numPr>
        <w:rPr>
          <w:rFonts w:ascii="Arial" w:cs="Arial" w:eastAsia="Arial" w:hAnsi="Arial"/>
          <w:sz w:val="24"/>
          <w:szCs w:val="24"/>
          <w:color w:val="auto"/>
          <w:vertAlign w:val="superscript"/>
        </w:rPr>
      </w:pPr>
      <w:r>
        <w:rPr>
          <w:rFonts w:ascii="Arial" w:cs="Arial" w:eastAsia="Arial" w:hAnsi="Arial"/>
          <w:sz w:val="14"/>
          <w:szCs w:val="14"/>
          <w:color w:val="auto"/>
        </w:rPr>
        <w:t>This column reflects unvested RSUs which, upon vesting, entitle the holder to a share of Company common stock and dividend equivalents accumulated since the date of grant. RSUs typically have a four-year vesting period. This column reflects two kinds of RSUs: (i) four-year RSUs granted to executive officers on December 1, 2017, December 3, 2018, December 2, 2019 and December 1, 2020 and (ii) special recruiting and retention grants that as of September 30, 2021 remained unvested. All RSUs are subject to special vesting rules for terminations covered by the Executive Separation Program described on pages 55-56 or upon a change in control as described on pages 58-59.</w:t>
      </w:r>
    </w:p>
    <w:p>
      <w:pPr>
        <w:spacing w:after="0" w:line="44" w:lineRule="exact"/>
        <w:rPr>
          <w:rFonts w:ascii="Arial" w:cs="Arial" w:eastAsia="Arial" w:hAnsi="Arial"/>
          <w:sz w:val="24"/>
          <w:szCs w:val="24"/>
          <w:color w:val="auto"/>
          <w:vertAlign w:val="superscript"/>
        </w:rPr>
      </w:pPr>
    </w:p>
    <w:p>
      <w:pPr>
        <w:ind w:left="640" w:hanging="314"/>
        <w:spacing w:after="0"/>
        <w:tabs>
          <w:tab w:leader="none" w:pos="640" w:val="left"/>
        </w:tabs>
        <w:numPr>
          <w:ilvl w:val="1"/>
          <w:numId w:val="57"/>
        </w:numPr>
        <w:rPr>
          <w:rFonts w:ascii="Arial" w:cs="Arial" w:eastAsia="Arial" w:hAnsi="Arial"/>
          <w:sz w:val="24"/>
          <w:szCs w:val="24"/>
          <w:color w:val="auto"/>
          <w:vertAlign w:val="superscript"/>
        </w:rPr>
      </w:pPr>
      <w:r>
        <w:rPr>
          <w:rFonts w:ascii="Arial" w:cs="Arial" w:eastAsia="Arial" w:hAnsi="Arial"/>
          <w:sz w:val="14"/>
          <w:szCs w:val="14"/>
          <w:color w:val="auto"/>
        </w:rPr>
        <w:t>Unvested RSUs granted in fiscal 2018, 2019, 2020 and 2021 are as follows:</w:t>
      </w:r>
    </w:p>
    <w:p>
      <w:pPr>
        <w:spacing w:after="0" w:line="151"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444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Officer</w:t>
            </w:r>
          </w:p>
        </w:tc>
        <w:tc>
          <w:tcPr>
            <w:tcW w:w="3500" w:type="dxa"/>
            <w:vAlign w:val="bottom"/>
            <w:tcBorders>
              <w:bottom w:val="single" w:sz="8" w:color="auto"/>
            </w:tcBorders>
          </w:tcPr>
          <w:p>
            <w:pPr>
              <w:jc w:val="right"/>
              <w:ind w:right="31"/>
              <w:spacing w:after="0"/>
              <w:rPr>
                <w:sz w:val="20"/>
                <w:szCs w:val="20"/>
                <w:color w:val="auto"/>
              </w:rPr>
            </w:pPr>
            <w:r>
              <w:rPr>
                <w:rFonts w:ascii="Arial" w:cs="Arial" w:eastAsia="Arial" w:hAnsi="Arial"/>
                <w:sz w:val="12"/>
                <w:szCs w:val="12"/>
                <w:b w:val="1"/>
                <w:bCs w:val="1"/>
                <w:color w:val="auto"/>
              </w:rPr>
              <w:t>FY18</w:t>
            </w:r>
          </w:p>
        </w:tc>
        <w:tc>
          <w:tcPr>
            <w:tcW w:w="640" w:type="dxa"/>
            <w:vAlign w:val="bottom"/>
            <w:tcBorders>
              <w:bottom w:val="single" w:sz="8" w:color="auto"/>
            </w:tcBorders>
          </w:tcPr>
          <w:p>
            <w:pPr>
              <w:jc w:val="right"/>
              <w:ind w:right="31"/>
              <w:spacing w:after="0"/>
              <w:rPr>
                <w:sz w:val="20"/>
                <w:szCs w:val="20"/>
                <w:color w:val="auto"/>
              </w:rPr>
            </w:pPr>
            <w:r>
              <w:rPr>
                <w:rFonts w:ascii="Arial" w:cs="Arial" w:eastAsia="Arial" w:hAnsi="Arial"/>
                <w:sz w:val="12"/>
                <w:szCs w:val="12"/>
                <w:b w:val="1"/>
                <w:bCs w:val="1"/>
                <w:color w:val="auto"/>
              </w:rPr>
              <w:t>FY19</w:t>
            </w:r>
          </w:p>
        </w:tc>
        <w:tc>
          <w:tcPr>
            <w:tcW w:w="640" w:type="dxa"/>
            <w:vAlign w:val="bottom"/>
            <w:tcBorders>
              <w:bottom w:val="single" w:sz="8" w:color="auto"/>
            </w:tcBorders>
          </w:tcPr>
          <w:p>
            <w:pPr>
              <w:jc w:val="right"/>
              <w:ind w:right="31"/>
              <w:spacing w:after="0"/>
              <w:rPr>
                <w:sz w:val="20"/>
                <w:szCs w:val="20"/>
                <w:color w:val="auto"/>
              </w:rPr>
            </w:pPr>
            <w:r>
              <w:rPr>
                <w:rFonts w:ascii="Arial" w:cs="Arial" w:eastAsia="Arial" w:hAnsi="Arial"/>
                <w:sz w:val="12"/>
                <w:szCs w:val="12"/>
                <w:b w:val="1"/>
                <w:bCs w:val="1"/>
                <w:color w:val="auto"/>
              </w:rPr>
              <w:t>FY20</w:t>
            </w: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2"/>
                <w:szCs w:val="12"/>
                <w:b w:val="1"/>
                <w:bCs w:val="1"/>
                <w:color w:val="auto"/>
              </w:rPr>
              <w:t>FY21</w:t>
            </w:r>
          </w:p>
        </w:tc>
        <w:tc>
          <w:tcPr>
            <w:tcW w:w="620" w:type="dxa"/>
            <w:vAlign w:val="bottom"/>
            <w:tcBorders>
              <w:bottom w:val="single" w:sz="8" w:color="auto"/>
            </w:tcBorders>
          </w:tcPr>
          <w:p>
            <w:pPr>
              <w:jc w:val="right"/>
              <w:ind w:right="31"/>
              <w:spacing w:after="0"/>
              <w:rPr>
                <w:sz w:val="20"/>
                <w:szCs w:val="20"/>
                <w:color w:val="auto"/>
              </w:rPr>
            </w:pPr>
            <w:r>
              <w:rPr>
                <w:rFonts w:ascii="Arial" w:cs="Arial" w:eastAsia="Arial" w:hAnsi="Arial"/>
                <w:sz w:val="12"/>
                <w:szCs w:val="12"/>
                <w:b w:val="1"/>
                <w:bCs w:val="1"/>
                <w:color w:val="auto"/>
              </w:rPr>
              <w:t>Total</w:t>
            </w:r>
          </w:p>
        </w:tc>
      </w:tr>
      <w:tr>
        <w:trPr>
          <w:trHeight w:val="207"/>
        </w:trPr>
        <w:tc>
          <w:tcPr>
            <w:tcW w:w="4440" w:type="dxa"/>
            <w:vAlign w:val="bottom"/>
            <w:tcBorders>
              <w:bottom w:val="single" w:sz="8" w:color="949599"/>
            </w:tcBorders>
          </w:tcPr>
          <w:p>
            <w:pPr>
              <w:ind w:left="80"/>
              <w:spacing w:after="0"/>
              <w:rPr>
                <w:sz w:val="20"/>
                <w:szCs w:val="20"/>
                <w:color w:val="auto"/>
              </w:rPr>
            </w:pPr>
            <w:r>
              <w:rPr>
                <w:rFonts w:ascii="Arial" w:cs="Arial" w:eastAsia="Arial" w:hAnsi="Arial"/>
                <w:sz w:val="14"/>
                <w:szCs w:val="14"/>
                <w:b w:val="1"/>
                <w:bCs w:val="1"/>
                <w:color w:val="009A4B"/>
              </w:rPr>
              <w:t>Seifi Ghasemi</w:t>
            </w:r>
          </w:p>
        </w:tc>
        <w:tc>
          <w:tcPr>
            <w:tcW w:w="3500" w:type="dxa"/>
            <w:vAlign w:val="bottom"/>
            <w:tcBorders>
              <w:bottom w:val="single" w:sz="8" w:color="949599"/>
            </w:tcBorders>
          </w:tcPr>
          <w:p>
            <w:pPr>
              <w:jc w:val="right"/>
              <w:ind w:right="31"/>
              <w:spacing w:after="0"/>
              <w:rPr>
                <w:sz w:val="20"/>
                <w:szCs w:val="20"/>
                <w:color w:val="auto"/>
              </w:rPr>
            </w:pPr>
            <w:r>
              <w:rPr>
                <w:rFonts w:ascii="Arial" w:cs="Arial" w:eastAsia="Arial" w:hAnsi="Arial"/>
                <w:sz w:val="14"/>
                <w:szCs w:val="14"/>
                <w:color w:val="auto"/>
              </w:rPr>
              <w:t>20,992</w:t>
            </w:r>
          </w:p>
        </w:tc>
        <w:tc>
          <w:tcPr>
            <w:tcW w:w="640" w:type="dxa"/>
            <w:vAlign w:val="bottom"/>
            <w:tcBorders>
              <w:bottom w:val="single" w:sz="8" w:color="949599"/>
            </w:tcBorders>
          </w:tcPr>
          <w:p>
            <w:pPr>
              <w:jc w:val="right"/>
              <w:ind w:right="31"/>
              <w:spacing w:after="0"/>
              <w:rPr>
                <w:sz w:val="20"/>
                <w:szCs w:val="20"/>
                <w:color w:val="auto"/>
              </w:rPr>
            </w:pPr>
            <w:r>
              <w:rPr>
                <w:rFonts w:ascii="Arial" w:cs="Arial" w:eastAsia="Arial" w:hAnsi="Arial"/>
                <w:sz w:val="14"/>
                <w:szCs w:val="14"/>
                <w:color w:val="auto"/>
              </w:rPr>
              <w:t>25,131</w:t>
            </w:r>
          </w:p>
        </w:tc>
        <w:tc>
          <w:tcPr>
            <w:tcW w:w="640" w:type="dxa"/>
            <w:vAlign w:val="bottom"/>
            <w:tcBorders>
              <w:bottom w:val="single" w:sz="8" w:color="949599"/>
            </w:tcBorders>
          </w:tcPr>
          <w:p>
            <w:pPr>
              <w:jc w:val="right"/>
              <w:ind w:right="31"/>
              <w:spacing w:after="0"/>
              <w:rPr>
                <w:sz w:val="20"/>
                <w:szCs w:val="20"/>
                <w:color w:val="auto"/>
              </w:rPr>
            </w:pPr>
            <w:r>
              <w:rPr>
                <w:rFonts w:ascii="Arial" w:cs="Arial" w:eastAsia="Arial" w:hAnsi="Arial"/>
                <w:sz w:val="14"/>
                <w:szCs w:val="14"/>
                <w:color w:val="auto"/>
              </w:rPr>
              <w:t>16,820</w:t>
            </w:r>
          </w:p>
        </w:tc>
        <w:tc>
          <w:tcPr>
            <w:tcW w:w="600" w:type="dxa"/>
            <w:vAlign w:val="bottom"/>
            <w:tcBorders>
              <w:bottom w:val="single" w:sz="8" w:color="949599"/>
            </w:tcBorders>
          </w:tcPr>
          <w:p>
            <w:pPr>
              <w:jc w:val="right"/>
              <w:ind w:right="11"/>
              <w:spacing w:after="0"/>
              <w:rPr>
                <w:sz w:val="20"/>
                <w:szCs w:val="20"/>
                <w:color w:val="auto"/>
              </w:rPr>
            </w:pPr>
            <w:r>
              <w:rPr>
                <w:rFonts w:ascii="Arial" w:cs="Arial" w:eastAsia="Arial" w:hAnsi="Arial"/>
                <w:sz w:val="14"/>
                <w:szCs w:val="14"/>
                <w:color w:val="auto"/>
              </w:rPr>
              <w:t>16,078</w:t>
            </w:r>
          </w:p>
        </w:tc>
        <w:tc>
          <w:tcPr>
            <w:tcW w:w="620" w:type="dxa"/>
            <w:vAlign w:val="bottom"/>
            <w:tcBorders>
              <w:bottom w:val="single" w:sz="8" w:color="949599"/>
            </w:tcBorders>
          </w:tcPr>
          <w:p>
            <w:pPr>
              <w:jc w:val="right"/>
              <w:ind w:right="31"/>
              <w:spacing w:after="0"/>
              <w:rPr>
                <w:sz w:val="20"/>
                <w:szCs w:val="20"/>
                <w:color w:val="auto"/>
              </w:rPr>
            </w:pPr>
            <w:r>
              <w:rPr>
                <w:rFonts w:ascii="Arial" w:cs="Arial" w:eastAsia="Arial" w:hAnsi="Arial"/>
                <w:sz w:val="14"/>
                <w:szCs w:val="14"/>
                <w:color w:val="auto"/>
              </w:rPr>
              <w:t>79,021</w:t>
            </w:r>
          </w:p>
        </w:tc>
      </w:tr>
      <w:tr>
        <w:trPr>
          <w:trHeight w:val="206"/>
        </w:trPr>
        <w:tc>
          <w:tcPr>
            <w:tcW w:w="4440" w:type="dxa"/>
            <w:vAlign w:val="bottom"/>
            <w:tcBorders>
              <w:bottom w:val="single" w:sz="8" w:color="949599"/>
            </w:tcBorders>
          </w:tcPr>
          <w:p>
            <w:pPr>
              <w:ind w:left="80"/>
              <w:spacing w:after="0"/>
              <w:rPr>
                <w:sz w:val="20"/>
                <w:szCs w:val="20"/>
                <w:color w:val="auto"/>
              </w:rPr>
            </w:pPr>
            <w:r>
              <w:rPr>
                <w:rFonts w:ascii="Arial" w:cs="Arial" w:eastAsia="Arial" w:hAnsi="Arial"/>
                <w:sz w:val="14"/>
                <w:szCs w:val="14"/>
                <w:b w:val="1"/>
                <w:bCs w:val="1"/>
                <w:color w:val="009A4B"/>
              </w:rPr>
              <w:t>Melissa N. Schaeffer</w:t>
            </w:r>
          </w:p>
        </w:tc>
        <w:tc>
          <w:tcPr>
            <w:tcW w:w="3500" w:type="dxa"/>
            <w:vAlign w:val="bottom"/>
            <w:tcBorders>
              <w:bottom w:val="single" w:sz="8" w:color="949599"/>
            </w:tcBorders>
          </w:tcPr>
          <w:p>
            <w:pPr>
              <w:jc w:val="right"/>
              <w:ind w:right="31"/>
              <w:spacing w:after="0"/>
              <w:rPr>
                <w:sz w:val="20"/>
                <w:szCs w:val="20"/>
                <w:color w:val="auto"/>
              </w:rPr>
            </w:pPr>
            <w:r>
              <w:rPr>
                <w:rFonts w:ascii="Arial" w:cs="Arial" w:eastAsia="Arial" w:hAnsi="Arial"/>
                <w:sz w:val="14"/>
                <w:szCs w:val="14"/>
                <w:color w:val="auto"/>
              </w:rPr>
              <w:t>297</w:t>
            </w:r>
          </w:p>
        </w:tc>
        <w:tc>
          <w:tcPr>
            <w:tcW w:w="640" w:type="dxa"/>
            <w:vAlign w:val="bottom"/>
            <w:tcBorders>
              <w:bottom w:val="single" w:sz="8" w:color="949599"/>
            </w:tcBorders>
          </w:tcPr>
          <w:p>
            <w:pPr>
              <w:jc w:val="right"/>
              <w:ind w:right="31"/>
              <w:spacing w:after="0"/>
              <w:rPr>
                <w:sz w:val="20"/>
                <w:szCs w:val="20"/>
                <w:color w:val="auto"/>
              </w:rPr>
            </w:pPr>
            <w:r>
              <w:rPr>
                <w:rFonts w:ascii="Arial" w:cs="Arial" w:eastAsia="Arial" w:hAnsi="Arial"/>
                <w:sz w:val="14"/>
                <w:szCs w:val="14"/>
                <w:color w:val="auto"/>
              </w:rPr>
              <w:t>302</w:t>
            </w:r>
          </w:p>
        </w:tc>
        <w:tc>
          <w:tcPr>
            <w:tcW w:w="640" w:type="dxa"/>
            <w:vAlign w:val="bottom"/>
            <w:tcBorders>
              <w:bottom w:val="single" w:sz="8" w:color="949599"/>
            </w:tcBorders>
          </w:tcPr>
          <w:p>
            <w:pPr>
              <w:jc w:val="right"/>
              <w:ind w:right="31"/>
              <w:spacing w:after="0"/>
              <w:rPr>
                <w:sz w:val="20"/>
                <w:szCs w:val="20"/>
                <w:color w:val="auto"/>
              </w:rPr>
            </w:pPr>
            <w:r>
              <w:rPr>
                <w:rFonts w:ascii="Arial" w:cs="Arial" w:eastAsia="Arial" w:hAnsi="Arial"/>
                <w:sz w:val="14"/>
                <w:szCs w:val="14"/>
                <w:color w:val="auto"/>
              </w:rPr>
              <w:t>223</w:t>
            </w:r>
          </w:p>
        </w:tc>
        <w:tc>
          <w:tcPr>
            <w:tcW w:w="600" w:type="dxa"/>
            <w:vAlign w:val="bottom"/>
            <w:tcBorders>
              <w:bottom w:val="single" w:sz="8" w:color="949599"/>
            </w:tcBorders>
          </w:tcPr>
          <w:p>
            <w:pPr>
              <w:jc w:val="right"/>
              <w:ind w:right="11"/>
              <w:spacing w:after="0"/>
              <w:rPr>
                <w:sz w:val="20"/>
                <w:szCs w:val="20"/>
                <w:color w:val="auto"/>
              </w:rPr>
            </w:pPr>
            <w:r>
              <w:rPr>
                <w:rFonts w:ascii="Arial" w:cs="Arial" w:eastAsia="Arial" w:hAnsi="Arial"/>
                <w:sz w:val="14"/>
                <w:szCs w:val="14"/>
                <w:color w:val="auto"/>
              </w:rPr>
              <w:t>483</w:t>
            </w:r>
          </w:p>
        </w:tc>
        <w:tc>
          <w:tcPr>
            <w:tcW w:w="620" w:type="dxa"/>
            <w:vAlign w:val="bottom"/>
            <w:tcBorders>
              <w:bottom w:val="single" w:sz="8" w:color="949599"/>
            </w:tcBorders>
          </w:tcPr>
          <w:p>
            <w:pPr>
              <w:jc w:val="right"/>
              <w:ind w:right="31"/>
              <w:spacing w:after="0"/>
              <w:rPr>
                <w:sz w:val="20"/>
                <w:szCs w:val="20"/>
                <w:color w:val="auto"/>
              </w:rPr>
            </w:pPr>
            <w:r>
              <w:rPr>
                <w:rFonts w:ascii="Arial" w:cs="Arial" w:eastAsia="Arial" w:hAnsi="Arial"/>
                <w:sz w:val="14"/>
                <w:szCs w:val="14"/>
                <w:color w:val="auto"/>
              </w:rPr>
              <w:t>1,305</w:t>
            </w:r>
          </w:p>
        </w:tc>
      </w:tr>
      <w:tr>
        <w:trPr>
          <w:trHeight w:val="206"/>
        </w:trPr>
        <w:tc>
          <w:tcPr>
            <w:tcW w:w="4440" w:type="dxa"/>
            <w:vAlign w:val="bottom"/>
            <w:tcBorders>
              <w:bottom w:val="single" w:sz="8" w:color="949599"/>
            </w:tcBorders>
          </w:tcPr>
          <w:p>
            <w:pPr>
              <w:ind w:left="80"/>
              <w:spacing w:after="0"/>
              <w:rPr>
                <w:sz w:val="20"/>
                <w:szCs w:val="20"/>
                <w:color w:val="auto"/>
              </w:rPr>
            </w:pPr>
            <w:r>
              <w:rPr>
                <w:rFonts w:ascii="Arial" w:cs="Arial" w:eastAsia="Arial" w:hAnsi="Arial"/>
                <w:sz w:val="14"/>
                <w:szCs w:val="14"/>
                <w:b w:val="1"/>
                <w:bCs w:val="1"/>
                <w:color w:val="009A4B"/>
              </w:rPr>
              <w:t>M. Scott Crocco</w:t>
            </w:r>
          </w:p>
        </w:tc>
        <w:tc>
          <w:tcPr>
            <w:tcW w:w="3500" w:type="dxa"/>
            <w:vAlign w:val="bottom"/>
            <w:tcBorders>
              <w:bottom w:val="single" w:sz="8" w:color="949599"/>
            </w:tcBorders>
          </w:tcPr>
          <w:p>
            <w:pPr>
              <w:jc w:val="right"/>
              <w:ind w:right="31"/>
              <w:spacing w:after="0"/>
              <w:rPr>
                <w:sz w:val="20"/>
                <w:szCs w:val="20"/>
                <w:color w:val="auto"/>
              </w:rPr>
            </w:pPr>
            <w:r>
              <w:rPr>
                <w:rFonts w:ascii="Arial" w:cs="Arial" w:eastAsia="Arial" w:hAnsi="Arial"/>
                <w:sz w:val="14"/>
                <w:szCs w:val="14"/>
                <w:color w:val="auto"/>
              </w:rPr>
              <w:t>4,198</w:t>
            </w:r>
          </w:p>
        </w:tc>
        <w:tc>
          <w:tcPr>
            <w:tcW w:w="640" w:type="dxa"/>
            <w:vAlign w:val="bottom"/>
            <w:tcBorders>
              <w:bottom w:val="single" w:sz="8" w:color="949599"/>
            </w:tcBorders>
          </w:tcPr>
          <w:p>
            <w:pPr>
              <w:jc w:val="right"/>
              <w:ind w:right="31"/>
              <w:spacing w:after="0"/>
              <w:rPr>
                <w:sz w:val="20"/>
                <w:szCs w:val="20"/>
                <w:color w:val="auto"/>
              </w:rPr>
            </w:pPr>
            <w:r>
              <w:rPr>
                <w:rFonts w:ascii="Arial" w:cs="Arial" w:eastAsia="Arial" w:hAnsi="Arial"/>
                <w:sz w:val="14"/>
                <w:szCs w:val="14"/>
                <w:color w:val="auto"/>
              </w:rPr>
              <w:t>4,272</w:t>
            </w:r>
          </w:p>
        </w:tc>
        <w:tc>
          <w:tcPr>
            <w:tcW w:w="640" w:type="dxa"/>
            <w:vAlign w:val="bottom"/>
            <w:tcBorders>
              <w:bottom w:val="single" w:sz="8" w:color="949599"/>
            </w:tcBorders>
          </w:tcPr>
          <w:p>
            <w:pPr>
              <w:jc w:val="right"/>
              <w:ind w:right="31"/>
              <w:spacing w:after="0"/>
              <w:rPr>
                <w:sz w:val="20"/>
                <w:szCs w:val="20"/>
                <w:color w:val="auto"/>
              </w:rPr>
            </w:pPr>
            <w:r>
              <w:rPr>
                <w:rFonts w:ascii="Arial" w:cs="Arial" w:eastAsia="Arial" w:hAnsi="Arial"/>
                <w:sz w:val="14"/>
                <w:szCs w:val="14"/>
                <w:color w:val="auto"/>
              </w:rPr>
              <w:t>2,859</w:t>
            </w:r>
          </w:p>
        </w:tc>
        <w:tc>
          <w:tcPr>
            <w:tcW w:w="600" w:type="dxa"/>
            <w:vAlign w:val="bottom"/>
            <w:tcBorders>
              <w:bottom w:val="single" w:sz="8" w:color="949599"/>
            </w:tcBorders>
          </w:tcPr>
          <w:p>
            <w:pPr>
              <w:jc w:val="right"/>
              <w:ind w:right="11"/>
              <w:spacing w:after="0"/>
              <w:rPr>
                <w:sz w:val="20"/>
                <w:szCs w:val="20"/>
                <w:color w:val="auto"/>
              </w:rPr>
            </w:pPr>
            <w:r>
              <w:rPr>
                <w:rFonts w:ascii="Arial" w:cs="Arial" w:eastAsia="Arial" w:hAnsi="Arial"/>
                <w:sz w:val="14"/>
                <w:szCs w:val="14"/>
                <w:color w:val="auto"/>
              </w:rPr>
              <w:t>2,484</w:t>
            </w:r>
          </w:p>
        </w:tc>
        <w:tc>
          <w:tcPr>
            <w:tcW w:w="620" w:type="dxa"/>
            <w:vAlign w:val="bottom"/>
            <w:tcBorders>
              <w:bottom w:val="single" w:sz="8" w:color="949599"/>
            </w:tcBorders>
          </w:tcPr>
          <w:p>
            <w:pPr>
              <w:jc w:val="right"/>
              <w:ind w:right="31"/>
              <w:spacing w:after="0"/>
              <w:rPr>
                <w:sz w:val="20"/>
                <w:szCs w:val="20"/>
                <w:color w:val="auto"/>
              </w:rPr>
            </w:pPr>
            <w:r>
              <w:rPr>
                <w:rFonts w:ascii="Arial" w:cs="Arial" w:eastAsia="Arial" w:hAnsi="Arial"/>
                <w:sz w:val="14"/>
                <w:szCs w:val="14"/>
                <w:color w:val="auto"/>
              </w:rPr>
              <w:t>13,813</w:t>
            </w:r>
          </w:p>
        </w:tc>
      </w:tr>
      <w:tr>
        <w:trPr>
          <w:trHeight w:val="206"/>
        </w:trPr>
        <w:tc>
          <w:tcPr>
            <w:tcW w:w="4440" w:type="dxa"/>
            <w:vAlign w:val="bottom"/>
            <w:tcBorders>
              <w:bottom w:val="single" w:sz="8" w:color="949599"/>
            </w:tcBorders>
          </w:tcPr>
          <w:p>
            <w:pPr>
              <w:ind w:left="80"/>
              <w:spacing w:after="0"/>
              <w:rPr>
                <w:sz w:val="20"/>
                <w:szCs w:val="20"/>
                <w:color w:val="auto"/>
              </w:rPr>
            </w:pPr>
            <w:r>
              <w:rPr>
                <w:rFonts w:ascii="Arial" w:cs="Arial" w:eastAsia="Arial" w:hAnsi="Arial"/>
                <w:sz w:val="14"/>
                <w:szCs w:val="14"/>
                <w:b w:val="1"/>
                <w:bCs w:val="1"/>
                <w:color w:val="009A4B"/>
              </w:rPr>
              <w:t>Sean D. Major</w:t>
            </w:r>
          </w:p>
        </w:tc>
        <w:tc>
          <w:tcPr>
            <w:tcW w:w="3500" w:type="dxa"/>
            <w:vAlign w:val="bottom"/>
            <w:tcBorders>
              <w:bottom w:val="single" w:sz="8" w:color="949599"/>
            </w:tcBorders>
          </w:tcPr>
          <w:p>
            <w:pPr>
              <w:jc w:val="right"/>
              <w:ind w:right="31"/>
              <w:spacing w:after="0"/>
              <w:rPr>
                <w:sz w:val="20"/>
                <w:szCs w:val="20"/>
                <w:color w:val="auto"/>
              </w:rPr>
            </w:pPr>
            <w:r>
              <w:rPr>
                <w:rFonts w:ascii="Arial" w:cs="Arial" w:eastAsia="Arial" w:hAnsi="Arial"/>
                <w:sz w:val="14"/>
                <w:szCs w:val="14"/>
                <w:color w:val="auto"/>
              </w:rPr>
              <w:t>2,469</w:t>
            </w:r>
          </w:p>
        </w:tc>
        <w:tc>
          <w:tcPr>
            <w:tcW w:w="640" w:type="dxa"/>
            <w:vAlign w:val="bottom"/>
            <w:tcBorders>
              <w:bottom w:val="single" w:sz="8" w:color="949599"/>
            </w:tcBorders>
          </w:tcPr>
          <w:p>
            <w:pPr>
              <w:jc w:val="right"/>
              <w:ind w:right="31"/>
              <w:spacing w:after="0"/>
              <w:rPr>
                <w:sz w:val="20"/>
                <w:szCs w:val="20"/>
                <w:color w:val="auto"/>
              </w:rPr>
            </w:pPr>
            <w:r>
              <w:rPr>
                <w:rFonts w:ascii="Arial" w:cs="Arial" w:eastAsia="Arial" w:hAnsi="Arial"/>
                <w:sz w:val="14"/>
                <w:szCs w:val="14"/>
                <w:color w:val="auto"/>
              </w:rPr>
              <w:t>2,513</w:t>
            </w:r>
          </w:p>
        </w:tc>
        <w:tc>
          <w:tcPr>
            <w:tcW w:w="640" w:type="dxa"/>
            <w:vAlign w:val="bottom"/>
            <w:tcBorders>
              <w:bottom w:val="single" w:sz="8" w:color="949599"/>
            </w:tcBorders>
          </w:tcPr>
          <w:p>
            <w:pPr>
              <w:jc w:val="right"/>
              <w:ind w:right="31"/>
              <w:spacing w:after="0"/>
              <w:rPr>
                <w:sz w:val="20"/>
                <w:szCs w:val="20"/>
                <w:color w:val="auto"/>
              </w:rPr>
            </w:pPr>
            <w:r>
              <w:rPr>
                <w:rFonts w:ascii="Arial" w:cs="Arial" w:eastAsia="Arial" w:hAnsi="Arial"/>
                <w:sz w:val="14"/>
                <w:szCs w:val="14"/>
                <w:color w:val="auto"/>
              </w:rPr>
              <w:t>2,354</w:t>
            </w:r>
          </w:p>
        </w:tc>
        <w:tc>
          <w:tcPr>
            <w:tcW w:w="600" w:type="dxa"/>
            <w:vAlign w:val="bottom"/>
            <w:tcBorders>
              <w:bottom w:val="single" w:sz="8" w:color="949599"/>
            </w:tcBorders>
          </w:tcPr>
          <w:p>
            <w:pPr>
              <w:jc w:val="right"/>
              <w:ind w:right="11"/>
              <w:spacing w:after="0"/>
              <w:rPr>
                <w:sz w:val="20"/>
                <w:szCs w:val="20"/>
                <w:color w:val="auto"/>
              </w:rPr>
            </w:pPr>
            <w:r>
              <w:rPr>
                <w:rFonts w:ascii="Arial" w:cs="Arial" w:eastAsia="Arial" w:hAnsi="Arial"/>
                <w:sz w:val="14"/>
                <w:szCs w:val="14"/>
                <w:color w:val="auto"/>
              </w:rPr>
              <w:t>2,046</w:t>
            </w:r>
          </w:p>
        </w:tc>
        <w:tc>
          <w:tcPr>
            <w:tcW w:w="620" w:type="dxa"/>
            <w:vAlign w:val="bottom"/>
            <w:tcBorders>
              <w:bottom w:val="single" w:sz="8" w:color="949599"/>
            </w:tcBorders>
          </w:tcPr>
          <w:p>
            <w:pPr>
              <w:jc w:val="right"/>
              <w:ind w:right="31"/>
              <w:spacing w:after="0"/>
              <w:rPr>
                <w:sz w:val="20"/>
                <w:szCs w:val="20"/>
                <w:color w:val="auto"/>
              </w:rPr>
            </w:pPr>
            <w:r>
              <w:rPr>
                <w:rFonts w:ascii="Arial" w:cs="Arial" w:eastAsia="Arial" w:hAnsi="Arial"/>
                <w:sz w:val="14"/>
                <w:szCs w:val="14"/>
                <w:color w:val="auto"/>
              </w:rPr>
              <w:t>9,382</w:t>
            </w:r>
          </w:p>
        </w:tc>
      </w:tr>
      <w:tr>
        <w:trPr>
          <w:trHeight w:val="219"/>
        </w:trPr>
        <w:tc>
          <w:tcPr>
            <w:tcW w:w="44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9A4B"/>
              </w:rPr>
              <w:t>Samir J. Serhan</w:t>
            </w:r>
          </w:p>
        </w:tc>
        <w:tc>
          <w:tcPr>
            <w:tcW w:w="35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2,469</w:t>
            </w:r>
          </w:p>
        </w:tc>
        <w:tc>
          <w:tcPr>
            <w:tcW w:w="6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4,272</w:t>
            </w:r>
          </w:p>
        </w:tc>
        <w:tc>
          <w:tcPr>
            <w:tcW w:w="6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2,859</w:t>
            </w: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2,923</w:t>
            </w:r>
          </w:p>
        </w:tc>
        <w:tc>
          <w:tcPr>
            <w:tcW w:w="6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12,523</w:t>
            </w:r>
          </w:p>
        </w:tc>
      </w:tr>
    </w:tbl>
    <w:p>
      <w:pPr>
        <w:spacing w:after="0" w:line="86" w:lineRule="exact"/>
        <w:rPr>
          <w:sz w:val="20"/>
          <w:szCs w:val="20"/>
          <w:color w:val="auto"/>
        </w:rPr>
      </w:pPr>
    </w:p>
    <w:p>
      <w:pPr>
        <w:ind w:left="640" w:hanging="314"/>
        <w:spacing w:after="0"/>
        <w:tabs>
          <w:tab w:leader="none" w:pos="64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This column also shows special recruiting and retention grants as follows:</w:t>
      </w:r>
    </w:p>
    <w:p>
      <w:pPr>
        <w:spacing w:after="0" w:line="126" w:lineRule="exact"/>
        <w:rPr>
          <w:sz w:val="20"/>
          <w:szCs w:val="20"/>
          <w:color w:val="auto"/>
        </w:rPr>
      </w:pPr>
    </w:p>
    <w:tbl>
      <w:tblPr>
        <w:tblLayout w:type="fixed"/>
        <w:tblInd w:w="640" w:type="dxa"/>
        <w:tblCellMar>
          <w:top w:w="0" w:type="dxa"/>
          <w:left w:w="0" w:type="dxa"/>
          <w:bottom w:w="0" w:type="dxa"/>
          <w:right w:w="0" w:type="dxa"/>
        </w:tblCellMar>
      </w:tblPr>
      <w:tr>
        <w:trPr>
          <w:trHeight w:val="185"/>
        </w:trPr>
        <w:tc>
          <w:tcPr>
            <w:tcW w:w="52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Officer</w:t>
            </w:r>
          </w:p>
        </w:tc>
        <w:tc>
          <w:tcPr>
            <w:tcW w:w="5180" w:type="dxa"/>
            <w:vAlign w:val="bottom"/>
            <w:tcBorders>
              <w:bottom w:val="single" w:sz="8" w:color="auto"/>
            </w:tcBorders>
          </w:tcPr>
          <w:p>
            <w:pPr>
              <w:jc w:val="right"/>
              <w:ind w:right="33"/>
              <w:spacing w:after="0"/>
              <w:rPr>
                <w:sz w:val="20"/>
                <w:szCs w:val="20"/>
                <w:color w:val="auto"/>
              </w:rPr>
            </w:pPr>
            <w:r>
              <w:rPr>
                <w:rFonts w:ascii="Arial" w:cs="Arial" w:eastAsia="Arial" w:hAnsi="Arial"/>
                <w:sz w:val="12"/>
                <w:szCs w:val="12"/>
                <w:b w:val="1"/>
                <w:bCs w:val="1"/>
                <w:color w:val="auto"/>
              </w:rPr>
              <w:t>Number of Units</w:t>
            </w:r>
          </w:p>
        </w:tc>
      </w:tr>
      <w:tr>
        <w:trPr>
          <w:trHeight w:val="220"/>
        </w:trPr>
        <w:tc>
          <w:tcPr>
            <w:tcW w:w="5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009A4B"/>
              </w:rPr>
              <w:t>Samir J. Serhan*</w:t>
            </w:r>
          </w:p>
        </w:tc>
        <w:tc>
          <w:tcPr>
            <w:tcW w:w="51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3,142</w:t>
            </w:r>
          </w:p>
        </w:tc>
      </w:tr>
    </w:tbl>
    <w:p>
      <w:pPr>
        <w:spacing w:after="0" w:line="164" w:lineRule="exact"/>
        <w:rPr>
          <w:sz w:val="20"/>
          <w:szCs w:val="20"/>
          <w:color w:val="auto"/>
        </w:rPr>
      </w:pPr>
    </w:p>
    <w:p>
      <w:pPr>
        <w:ind w:left="960" w:right="240" w:hanging="315"/>
        <w:spacing w:after="0" w:line="252" w:lineRule="auto"/>
        <w:tabs>
          <w:tab w:leader="none" w:pos="960" w:val="left"/>
        </w:tabs>
        <w:numPr>
          <w:ilvl w:val="1"/>
          <w:numId w:val="59"/>
        </w:numPr>
        <w:rPr>
          <w:rFonts w:ascii="Arial" w:cs="Arial" w:eastAsia="Arial" w:hAnsi="Arial"/>
          <w:sz w:val="14"/>
          <w:szCs w:val="14"/>
          <w:color w:val="auto"/>
        </w:rPr>
      </w:pPr>
      <w:r>
        <w:rPr>
          <w:rFonts w:ascii="Arial" w:cs="Arial" w:eastAsia="Arial" w:hAnsi="Arial"/>
          <w:sz w:val="14"/>
          <w:szCs w:val="14"/>
          <w:color w:val="auto"/>
        </w:rPr>
        <w:t>9,424 three-year vesting RSUs were granted on December 3, 2018, of which 3,141 vested on December 3, 2019, 3,141 vested on December 3, 2020 and 3,142 vested on December 3, 2021.</w:t>
      </w:r>
    </w:p>
    <w:p>
      <w:pPr>
        <w:spacing w:after="0" w:line="35" w:lineRule="exact"/>
        <w:rPr>
          <w:rFonts w:ascii="Arial" w:cs="Arial" w:eastAsia="Arial" w:hAnsi="Arial"/>
          <w:sz w:val="14"/>
          <w:szCs w:val="14"/>
          <w:color w:val="auto"/>
        </w:rPr>
      </w:pPr>
    </w:p>
    <w:p>
      <w:pPr>
        <w:ind w:left="320" w:hanging="314"/>
        <w:spacing w:after="0"/>
        <w:tabs>
          <w:tab w:leader="none" w:pos="32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These amounts are based on the 2021 fiscal year-end NYSE closing stock price of $256.11.</w:t>
      </w:r>
    </w:p>
    <w:p>
      <w:pPr>
        <w:spacing w:after="0" w:line="95" w:lineRule="exact"/>
        <w:rPr>
          <w:rFonts w:ascii="Arial" w:cs="Arial" w:eastAsia="Arial" w:hAnsi="Arial"/>
          <w:sz w:val="24"/>
          <w:szCs w:val="24"/>
          <w:color w:val="auto"/>
          <w:vertAlign w:val="superscript"/>
        </w:rPr>
      </w:pPr>
    </w:p>
    <w:p>
      <w:pPr>
        <w:ind w:left="320" w:hanging="314"/>
        <w:spacing w:after="0" w:line="211" w:lineRule="auto"/>
        <w:tabs>
          <w:tab w:leader="none" w:pos="32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This column reflects performance shares granted in fiscal 2019, fiscal 2020 and fiscal 2021. These shares are conditioned upon performance during three-year cycles ending on September 30, 2021, September 30, 2022 and September 30, 2023, respectively. These awards will earn-out and be paid following the end of the relevant performance period as indicated in the chart below. The dollar values and share counts for fiscal 2019 are shown at the final payout factor of 161% as approved by the Committee and paid out in December 2021. The dollar values and share counts for fiscal 2020 and fiscal 2021 awards are shown in the table at the 100% target payout level based on the Company’s current total shareholder return percentile rank compared to the Peer Reference Group for the respective performance periods.</w:t>
      </w:r>
    </w:p>
    <w:p>
      <w:pPr>
        <w:spacing w:after="0" w:line="14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2640" w:type="dxa"/>
            <w:vAlign w:val="bottom"/>
            <w:gridSpan w:val="2"/>
          </w:tcPr>
          <w:p>
            <w:pPr>
              <w:jc w:val="center"/>
              <w:ind w:left="749"/>
              <w:spacing w:after="0"/>
              <w:rPr>
                <w:sz w:val="20"/>
                <w:szCs w:val="20"/>
                <w:color w:val="auto"/>
              </w:rPr>
            </w:pPr>
            <w:r>
              <w:rPr>
                <w:rFonts w:ascii="Arial" w:cs="Arial" w:eastAsia="Arial" w:hAnsi="Arial"/>
                <w:sz w:val="14"/>
                <w:szCs w:val="14"/>
                <w:b w:val="1"/>
                <w:bCs w:val="1"/>
                <w:color w:val="auto"/>
              </w:rPr>
              <w:t>Fiscal 2019-2021 Unearned</w:t>
            </w:r>
          </w:p>
        </w:tc>
        <w:tc>
          <w:tcPr>
            <w:tcW w:w="800" w:type="dxa"/>
            <w:vAlign w:val="bottom"/>
          </w:tcPr>
          <w:p>
            <w:pPr>
              <w:spacing w:after="0"/>
              <w:rPr>
                <w:sz w:val="14"/>
                <w:szCs w:val="14"/>
                <w:color w:val="auto"/>
              </w:rPr>
            </w:pPr>
          </w:p>
        </w:tc>
      </w:tr>
      <w:tr>
        <w:trPr>
          <w:trHeight w:val="160"/>
        </w:trPr>
        <w:tc>
          <w:tcPr>
            <w:tcW w:w="7000" w:type="dxa"/>
            <w:vAlign w:val="bottom"/>
          </w:tcPr>
          <w:p>
            <w:pPr>
              <w:spacing w:after="0"/>
              <w:rPr>
                <w:sz w:val="13"/>
                <w:szCs w:val="13"/>
                <w:color w:val="auto"/>
              </w:rPr>
            </w:pPr>
          </w:p>
        </w:tc>
        <w:tc>
          <w:tcPr>
            <w:tcW w:w="3440" w:type="dxa"/>
            <w:vAlign w:val="bottom"/>
            <w:gridSpan w:val="3"/>
          </w:tcPr>
          <w:p>
            <w:pPr>
              <w:jc w:val="center"/>
              <w:spacing w:after="0" w:line="160" w:lineRule="exact"/>
              <w:rPr>
                <w:sz w:val="20"/>
                <w:szCs w:val="20"/>
                <w:color w:val="auto"/>
              </w:rPr>
            </w:pPr>
            <w:r>
              <w:rPr>
                <w:rFonts w:ascii="Arial" w:cs="Arial" w:eastAsia="Arial" w:hAnsi="Arial"/>
                <w:sz w:val="14"/>
                <w:szCs w:val="14"/>
                <w:b w:val="1"/>
                <w:bCs w:val="1"/>
                <w:color w:val="auto"/>
              </w:rPr>
              <w:t>Performance Shares at End of</w:t>
            </w:r>
          </w:p>
        </w:tc>
      </w:tr>
      <w:tr>
        <w:trPr>
          <w:trHeight w:val="193"/>
        </w:trPr>
        <w:tc>
          <w:tcPr>
            <w:tcW w:w="7000" w:type="dxa"/>
            <w:vAlign w:val="bottom"/>
          </w:tcPr>
          <w:p>
            <w:pPr>
              <w:spacing w:after="0"/>
              <w:rPr>
                <w:sz w:val="16"/>
                <w:szCs w:val="16"/>
                <w:color w:val="auto"/>
              </w:rPr>
            </w:pPr>
          </w:p>
        </w:tc>
        <w:tc>
          <w:tcPr>
            <w:tcW w:w="2640" w:type="dxa"/>
            <w:vAlign w:val="bottom"/>
            <w:tcBorders>
              <w:bottom w:val="single" w:sz="8" w:color="auto"/>
            </w:tcBorders>
            <w:gridSpan w:val="2"/>
          </w:tcPr>
          <w:p>
            <w:pPr>
              <w:jc w:val="center"/>
              <w:ind w:left="749"/>
              <w:spacing w:after="0"/>
              <w:rPr>
                <w:sz w:val="20"/>
                <w:szCs w:val="20"/>
                <w:color w:val="auto"/>
              </w:rPr>
            </w:pPr>
            <w:r>
              <w:rPr>
                <w:rFonts w:ascii="Arial" w:cs="Arial" w:eastAsia="Arial" w:hAnsi="Arial"/>
                <w:sz w:val="14"/>
                <w:szCs w:val="14"/>
                <w:b w:val="1"/>
                <w:bCs w:val="1"/>
                <w:color w:val="auto"/>
              </w:rPr>
              <w:t>Performance Period</w:t>
            </w:r>
          </w:p>
        </w:tc>
        <w:tc>
          <w:tcPr>
            <w:tcW w:w="800" w:type="dxa"/>
            <w:vAlign w:val="bottom"/>
            <w:tcBorders>
              <w:bottom w:val="single" w:sz="8" w:color="auto"/>
            </w:tcBorders>
          </w:tcPr>
          <w:p>
            <w:pPr>
              <w:spacing w:after="0"/>
              <w:rPr>
                <w:sz w:val="16"/>
                <w:szCs w:val="16"/>
                <w:color w:val="auto"/>
              </w:rPr>
            </w:pPr>
          </w:p>
        </w:tc>
      </w:tr>
      <w:tr>
        <w:trPr>
          <w:trHeight w:val="220"/>
        </w:trPr>
        <w:tc>
          <w:tcPr>
            <w:tcW w:w="7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Officer</w:t>
            </w:r>
          </w:p>
        </w:tc>
        <w:tc>
          <w:tcPr>
            <w:tcW w:w="12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09/30/2021</w:t>
            </w:r>
          </w:p>
        </w:tc>
        <w:tc>
          <w:tcPr>
            <w:tcW w:w="136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09/30/2022</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96"/>
              </w:rPr>
              <w:t>09/30/2023</w:t>
            </w:r>
          </w:p>
        </w:tc>
      </w:tr>
      <w:tr>
        <w:trPr>
          <w:trHeight w:val="207"/>
        </w:trPr>
        <w:tc>
          <w:tcPr>
            <w:tcW w:w="7000" w:type="dxa"/>
            <w:vAlign w:val="bottom"/>
            <w:tcBorders>
              <w:bottom w:val="single" w:sz="8" w:color="949599"/>
            </w:tcBorders>
          </w:tcPr>
          <w:p>
            <w:pPr>
              <w:ind w:left="80"/>
              <w:spacing w:after="0"/>
              <w:rPr>
                <w:sz w:val="20"/>
                <w:szCs w:val="20"/>
                <w:color w:val="auto"/>
              </w:rPr>
            </w:pPr>
            <w:r>
              <w:rPr>
                <w:rFonts w:ascii="Arial" w:cs="Arial" w:eastAsia="Arial" w:hAnsi="Arial"/>
                <w:sz w:val="14"/>
                <w:szCs w:val="14"/>
                <w:b w:val="1"/>
                <w:bCs w:val="1"/>
                <w:color w:val="009A4B"/>
              </w:rPr>
              <w:t>Seifi Ghasemi</w:t>
            </w:r>
          </w:p>
        </w:tc>
        <w:tc>
          <w:tcPr>
            <w:tcW w:w="1280" w:type="dxa"/>
            <w:vAlign w:val="bottom"/>
            <w:tcBorders>
              <w:bottom w:val="single" w:sz="8" w:color="949599"/>
            </w:tcBorders>
          </w:tcPr>
          <w:p>
            <w:pPr>
              <w:jc w:val="right"/>
              <w:ind w:right="149"/>
              <w:spacing w:after="0"/>
              <w:rPr>
                <w:sz w:val="20"/>
                <w:szCs w:val="20"/>
                <w:color w:val="auto"/>
              </w:rPr>
            </w:pPr>
            <w:r>
              <w:rPr>
                <w:rFonts w:ascii="Arial" w:cs="Arial" w:eastAsia="Arial" w:hAnsi="Arial"/>
                <w:sz w:val="14"/>
                <w:szCs w:val="14"/>
                <w:color w:val="auto"/>
              </w:rPr>
              <w:t>60,692</w:t>
            </w:r>
          </w:p>
        </w:tc>
        <w:tc>
          <w:tcPr>
            <w:tcW w:w="1360" w:type="dxa"/>
            <w:vAlign w:val="bottom"/>
            <w:tcBorders>
              <w:bottom w:val="single" w:sz="8" w:color="949599"/>
            </w:tcBorders>
          </w:tcPr>
          <w:p>
            <w:pPr>
              <w:jc w:val="right"/>
              <w:ind w:right="349"/>
              <w:spacing w:after="0"/>
              <w:rPr>
                <w:sz w:val="20"/>
                <w:szCs w:val="20"/>
                <w:color w:val="auto"/>
              </w:rPr>
            </w:pPr>
            <w:r>
              <w:rPr>
                <w:rFonts w:ascii="Arial" w:cs="Arial" w:eastAsia="Arial" w:hAnsi="Arial"/>
                <w:sz w:val="14"/>
                <w:szCs w:val="14"/>
                <w:color w:val="auto"/>
              </w:rPr>
              <w:t>25,230</w:t>
            </w:r>
          </w:p>
        </w:tc>
        <w:tc>
          <w:tcPr>
            <w:tcW w:w="800" w:type="dxa"/>
            <w:vAlign w:val="bottom"/>
            <w:tcBorders>
              <w:bottom w:val="single" w:sz="8" w:color="949599"/>
            </w:tcBorders>
          </w:tcPr>
          <w:p>
            <w:pPr>
              <w:jc w:val="right"/>
              <w:ind w:right="29"/>
              <w:spacing w:after="0"/>
              <w:rPr>
                <w:sz w:val="20"/>
                <w:szCs w:val="20"/>
                <w:color w:val="auto"/>
              </w:rPr>
            </w:pPr>
            <w:r>
              <w:rPr>
                <w:rFonts w:ascii="Arial" w:cs="Arial" w:eastAsia="Arial" w:hAnsi="Arial"/>
                <w:sz w:val="14"/>
                <w:szCs w:val="14"/>
                <w:color w:val="auto"/>
              </w:rPr>
              <w:t>24,117</w:t>
            </w:r>
          </w:p>
        </w:tc>
      </w:tr>
      <w:tr>
        <w:trPr>
          <w:trHeight w:val="206"/>
        </w:trPr>
        <w:tc>
          <w:tcPr>
            <w:tcW w:w="7000" w:type="dxa"/>
            <w:vAlign w:val="bottom"/>
            <w:tcBorders>
              <w:bottom w:val="single" w:sz="8" w:color="949599"/>
            </w:tcBorders>
          </w:tcPr>
          <w:p>
            <w:pPr>
              <w:ind w:left="80"/>
              <w:spacing w:after="0"/>
              <w:rPr>
                <w:sz w:val="20"/>
                <w:szCs w:val="20"/>
                <w:color w:val="auto"/>
              </w:rPr>
            </w:pPr>
            <w:r>
              <w:rPr>
                <w:rFonts w:ascii="Arial" w:cs="Arial" w:eastAsia="Arial" w:hAnsi="Arial"/>
                <w:sz w:val="14"/>
                <w:szCs w:val="14"/>
                <w:b w:val="1"/>
                <w:bCs w:val="1"/>
                <w:color w:val="009A4B"/>
              </w:rPr>
              <w:t>Melissa N. Schaeffer</w:t>
            </w:r>
          </w:p>
        </w:tc>
        <w:tc>
          <w:tcPr>
            <w:tcW w:w="1280" w:type="dxa"/>
            <w:vAlign w:val="bottom"/>
            <w:tcBorders>
              <w:bottom w:val="single" w:sz="8" w:color="949599"/>
            </w:tcBorders>
          </w:tcPr>
          <w:p>
            <w:pPr>
              <w:jc w:val="right"/>
              <w:ind w:right="149"/>
              <w:spacing w:after="0"/>
              <w:rPr>
                <w:sz w:val="20"/>
                <w:szCs w:val="20"/>
                <w:color w:val="auto"/>
              </w:rPr>
            </w:pPr>
            <w:r>
              <w:rPr>
                <w:rFonts w:ascii="Arial" w:cs="Arial" w:eastAsia="Arial" w:hAnsi="Arial"/>
                <w:sz w:val="14"/>
                <w:szCs w:val="14"/>
                <w:color w:val="auto"/>
              </w:rPr>
              <w:t>729</w:t>
            </w:r>
          </w:p>
        </w:tc>
        <w:tc>
          <w:tcPr>
            <w:tcW w:w="1360" w:type="dxa"/>
            <w:vAlign w:val="bottom"/>
            <w:tcBorders>
              <w:bottom w:val="single" w:sz="8" w:color="949599"/>
            </w:tcBorders>
          </w:tcPr>
          <w:p>
            <w:pPr>
              <w:jc w:val="right"/>
              <w:ind w:right="349"/>
              <w:spacing w:after="0"/>
              <w:rPr>
                <w:sz w:val="20"/>
                <w:szCs w:val="20"/>
                <w:color w:val="auto"/>
              </w:rPr>
            </w:pPr>
            <w:r>
              <w:rPr>
                <w:rFonts w:ascii="Arial" w:cs="Arial" w:eastAsia="Arial" w:hAnsi="Arial"/>
                <w:sz w:val="14"/>
                <w:szCs w:val="14"/>
                <w:color w:val="auto"/>
              </w:rPr>
              <w:t>334</w:t>
            </w:r>
          </w:p>
        </w:tc>
        <w:tc>
          <w:tcPr>
            <w:tcW w:w="800" w:type="dxa"/>
            <w:vAlign w:val="bottom"/>
            <w:tcBorders>
              <w:bottom w:val="single" w:sz="8" w:color="949599"/>
            </w:tcBorders>
          </w:tcPr>
          <w:p>
            <w:pPr>
              <w:jc w:val="right"/>
              <w:ind w:right="29"/>
              <w:spacing w:after="0"/>
              <w:rPr>
                <w:sz w:val="20"/>
                <w:szCs w:val="20"/>
                <w:color w:val="auto"/>
              </w:rPr>
            </w:pPr>
            <w:r>
              <w:rPr>
                <w:rFonts w:ascii="Arial" w:cs="Arial" w:eastAsia="Arial" w:hAnsi="Arial"/>
                <w:sz w:val="14"/>
                <w:szCs w:val="14"/>
                <w:color w:val="auto"/>
              </w:rPr>
              <w:t>724</w:t>
            </w:r>
          </w:p>
        </w:tc>
      </w:tr>
      <w:tr>
        <w:trPr>
          <w:trHeight w:val="206"/>
        </w:trPr>
        <w:tc>
          <w:tcPr>
            <w:tcW w:w="7000" w:type="dxa"/>
            <w:vAlign w:val="bottom"/>
            <w:tcBorders>
              <w:bottom w:val="single" w:sz="8" w:color="949599"/>
            </w:tcBorders>
          </w:tcPr>
          <w:p>
            <w:pPr>
              <w:ind w:left="80"/>
              <w:spacing w:after="0"/>
              <w:rPr>
                <w:sz w:val="20"/>
                <w:szCs w:val="20"/>
                <w:color w:val="auto"/>
              </w:rPr>
            </w:pPr>
            <w:r>
              <w:rPr>
                <w:rFonts w:ascii="Arial" w:cs="Arial" w:eastAsia="Arial" w:hAnsi="Arial"/>
                <w:sz w:val="14"/>
                <w:szCs w:val="14"/>
                <w:b w:val="1"/>
                <w:bCs w:val="1"/>
                <w:color w:val="009A4B"/>
              </w:rPr>
              <w:t>M. Scott Crocco</w:t>
            </w:r>
          </w:p>
        </w:tc>
        <w:tc>
          <w:tcPr>
            <w:tcW w:w="1280" w:type="dxa"/>
            <w:vAlign w:val="bottom"/>
            <w:tcBorders>
              <w:bottom w:val="single" w:sz="8" w:color="949599"/>
            </w:tcBorders>
          </w:tcPr>
          <w:p>
            <w:pPr>
              <w:jc w:val="right"/>
              <w:ind w:right="149"/>
              <w:spacing w:after="0"/>
              <w:rPr>
                <w:sz w:val="20"/>
                <w:szCs w:val="20"/>
                <w:color w:val="auto"/>
              </w:rPr>
            </w:pPr>
            <w:r>
              <w:rPr>
                <w:rFonts w:ascii="Arial" w:cs="Arial" w:eastAsia="Arial" w:hAnsi="Arial"/>
                <w:sz w:val="14"/>
                <w:szCs w:val="14"/>
                <w:color w:val="auto"/>
              </w:rPr>
              <w:t>10,317</w:t>
            </w:r>
          </w:p>
        </w:tc>
        <w:tc>
          <w:tcPr>
            <w:tcW w:w="1360" w:type="dxa"/>
            <w:vAlign w:val="bottom"/>
            <w:tcBorders>
              <w:bottom w:val="single" w:sz="8" w:color="949599"/>
            </w:tcBorders>
          </w:tcPr>
          <w:p>
            <w:pPr>
              <w:jc w:val="right"/>
              <w:ind w:right="349"/>
              <w:spacing w:after="0"/>
              <w:rPr>
                <w:sz w:val="20"/>
                <w:szCs w:val="20"/>
                <w:color w:val="auto"/>
              </w:rPr>
            </w:pPr>
            <w:r>
              <w:rPr>
                <w:rFonts w:ascii="Arial" w:cs="Arial" w:eastAsia="Arial" w:hAnsi="Arial"/>
                <w:sz w:val="14"/>
                <w:szCs w:val="14"/>
                <w:color w:val="auto"/>
              </w:rPr>
              <w:t>4,289</w:t>
            </w:r>
          </w:p>
        </w:tc>
        <w:tc>
          <w:tcPr>
            <w:tcW w:w="800" w:type="dxa"/>
            <w:vAlign w:val="bottom"/>
            <w:tcBorders>
              <w:bottom w:val="single" w:sz="8" w:color="949599"/>
            </w:tcBorders>
          </w:tcPr>
          <w:p>
            <w:pPr>
              <w:jc w:val="right"/>
              <w:ind w:right="29"/>
              <w:spacing w:after="0"/>
              <w:rPr>
                <w:sz w:val="20"/>
                <w:szCs w:val="20"/>
                <w:color w:val="auto"/>
              </w:rPr>
            </w:pPr>
            <w:r>
              <w:rPr>
                <w:rFonts w:ascii="Arial" w:cs="Arial" w:eastAsia="Arial" w:hAnsi="Arial"/>
                <w:sz w:val="14"/>
                <w:szCs w:val="14"/>
                <w:color w:val="auto"/>
              </w:rPr>
              <w:t>3,727</w:t>
            </w:r>
          </w:p>
        </w:tc>
      </w:tr>
      <w:tr>
        <w:trPr>
          <w:trHeight w:val="206"/>
        </w:trPr>
        <w:tc>
          <w:tcPr>
            <w:tcW w:w="7000" w:type="dxa"/>
            <w:vAlign w:val="bottom"/>
            <w:tcBorders>
              <w:bottom w:val="single" w:sz="8" w:color="949599"/>
            </w:tcBorders>
          </w:tcPr>
          <w:p>
            <w:pPr>
              <w:ind w:left="80"/>
              <w:spacing w:after="0"/>
              <w:rPr>
                <w:sz w:val="20"/>
                <w:szCs w:val="20"/>
                <w:color w:val="auto"/>
              </w:rPr>
            </w:pPr>
            <w:r>
              <w:rPr>
                <w:rFonts w:ascii="Arial" w:cs="Arial" w:eastAsia="Arial" w:hAnsi="Arial"/>
                <w:sz w:val="14"/>
                <w:szCs w:val="14"/>
                <w:b w:val="1"/>
                <w:bCs w:val="1"/>
                <w:color w:val="009A4B"/>
              </w:rPr>
              <w:t>Sean D. Major</w:t>
            </w:r>
          </w:p>
        </w:tc>
        <w:tc>
          <w:tcPr>
            <w:tcW w:w="1280" w:type="dxa"/>
            <w:vAlign w:val="bottom"/>
            <w:tcBorders>
              <w:bottom w:val="single" w:sz="8" w:color="949599"/>
            </w:tcBorders>
          </w:tcPr>
          <w:p>
            <w:pPr>
              <w:jc w:val="right"/>
              <w:ind w:right="149"/>
              <w:spacing w:after="0"/>
              <w:rPr>
                <w:sz w:val="20"/>
                <w:szCs w:val="20"/>
                <w:color w:val="auto"/>
              </w:rPr>
            </w:pPr>
            <w:r>
              <w:rPr>
                <w:rFonts w:ascii="Arial" w:cs="Arial" w:eastAsia="Arial" w:hAnsi="Arial"/>
                <w:sz w:val="14"/>
                <w:szCs w:val="14"/>
                <w:color w:val="auto"/>
              </w:rPr>
              <w:t>6,068</w:t>
            </w:r>
          </w:p>
        </w:tc>
        <w:tc>
          <w:tcPr>
            <w:tcW w:w="1360" w:type="dxa"/>
            <w:vAlign w:val="bottom"/>
            <w:tcBorders>
              <w:bottom w:val="single" w:sz="8" w:color="949599"/>
            </w:tcBorders>
          </w:tcPr>
          <w:p>
            <w:pPr>
              <w:jc w:val="right"/>
              <w:ind w:right="349"/>
              <w:spacing w:after="0"/>
              <w:rPr>
                <w:sz w:val="20"/>
                <w:szCs w:val="20"/>
                <w:color w:val="auto"/>
              </w:rPr>
            </w:pPr>
            <w:r>
              <w:rPr>
                <w:rFonts w:ascii="Arial" w:cs="Arial" w:eastAsia="Arial" w:hAnsi="Arial"/>
                <w:sz w:val="14"/>
                <w:szCs w:val="14"/>
                <w:color w:val="auto"/>
              </w:rPr>
              <w:t>3,532</w:t>
            </w:r>
          </w:p>
        </w:tc>
        <w:tc>
          <w:tcPr>
            <w:tcW w:w="800" w:type="dxa"/>
            <w:vAlign w:val="bottom"/>
            <w:tcBorders>
              <w:bottom w:val="single" w:sz="8" w:color="949599"/>
            </w:tcBorders>
          </w:tcPr>
          <w:p>
            <w:pPr>
              <w:jc w:val="right"/>
              <w:ind w:right="29"/>
              <w:spacing w:after="0"/>
              <w:rPr>
                <w:sz w:val="20"/>
                <w:szCs w:val="20"/>
                <w:color w:val="auto"/>
              </w:rPr>
            </w:pPr>
            <w:r>
              <w:rPr>
                <w:rFonts w:ascii="Arial" w:cs="Arial" w:eastAsia="Arial" w:hAnsi="Arial"/>
                <w:sz w:val="14"/>
                <w:szCs w:val="14"/>
                <w:color w:val="auto"/>
              </w:rPr>
              <w:t>3,069</w:t>
            </w:r>
          </w:p>
        </w:tc>
      </w:tr>
      <w:tr>
        <w:trPr>
          <w:trHeight w:val="219"/>
        </w:trPr>
        <w:tc>
          <w:tcPr>
            <w:tcW w:w="7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9A4B"/>
              </w:rPr>
              <w:t>Samir J. Serhan</w:t>
            </w:r>
          </w:p>
        </w:tc>
        <w:tc>
          <w:tcPr>
            <w:tcW w:w="12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10,317</w:t>
            </w:r>
          </w:p>
        </w:tc>
        <w:tc>
          <w:tcPr>
            <w:tcW w:w="136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4,289</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4,385</w:t>
            </w:r>
          </w:p>
        </w:tc>
      </w:tr>
    </w:tbl>
    <w:p>
      <w:pPr>
        <w:spacing w:after="0" w:line="14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7155180" cy="20955"/>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28"/>
          <w:szCs w:val="28"/>
          <w:color w:val="009A4B"/>
        </w:rPr>
        <w:t>Fiscal 2021 Option Exercises and Stock Vested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225" cy="17145"/>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80" w:type="dxa"/>
            <w:vAlign w:val="bottom"/>
          </w:tcPr>
          <w:p>
            <w:pPr>
              <w:spacing w:after="0"/>
              <w:rPr>
                <w:sz w:val="17"/>
                <w:szCs w:val="17"/>
                <w:color w:val="auto"/>
              </w:rPr>
            </w:pPr>
          </w:p>
        </w:tc>
        <w:tc>
          <w:tcPr>
            <w:tcW w:w="2960" w:type="dxa"/>
            <w:vAlign w:val="bottom"/>
            <w:tcBorders>
              <w:bottom w:val="single" w:sz="8" w:color="auto"/>
            </w:tcBorders>
            <w:gridSpan w:val="2"/>
          </w:tcPr>
          <w:p>
            <w:pPr>
              <w:jc w:val="right"/>
              <w:ind w:right="909"/>
              <w:spacing w:after="0"/>
              <w:rPr>
                <w:sz w:val="20"/>
                <w:szCs w:val="20"/>
                <w:color w:val="auto"/>
              </w:rPr>
            </w:pPr>
            <w:r>
              <w:rPr>
                <w:rFonts w:ascii="Arial" w:cs="Arial" w:eastAsia="Arial" w:hAnsi="Arial"/>
                <w:sz w:val="14"/>
                <w:szCs w:val="14"/>
                <w:b w:val="1"/>
                <w:bCs w:val="1"/>
                <w:color w:val="auto"/>
              </w:rPr>
              <w:t>Option Awards</w:t>
            </w:r>
          </w:p>
        </w:tc>
        <w:tc>
          <w:tcPr>
            <w:tcW w:w="200" w:type="dxa"/>
            <w:vAlign w:val="bottom"/>
          </w:tcPr>
          <w:p>
            <w:pPr>
              <w:spacing w:after="0"/>
              <w:rPr>
                <w:sz w:val="17"/>
                <w:szCs w:val="17"/>
                <w:color w:val="auto"/>
              </w:rPr>
            </w:pPr>
          </w:p>
        </w:tc>
        <w:tc>
          <w:tcPr>
            <w:tcW w:w="3000" w:type="dxa"/>
            <w:vAlign w:val="bottom"/>
            <w:tcBorders>
              <w:bottom w:val="single" w:sz="8" w:color="auto"/>
            </w:tcBorders>
            <w:gridSpan w:val="2"/>
          </w:tcPr>
          <w:p>
            <w:pPr>
              <w:jc w:val="right"/>
              <w:ind w:right="969"/>
              <w:spacing w:after="0"/>
              <w:rPr>
                <w:sz w:val="20"/>
                <w:szCs w:val="20"/>
                <w:color w:val="auto"/>
              </w:rPr>
            </w:pPr>
            <w:r>
              <w:rPr>
                <w:rFonts w:ascii="Arial" w:cs="Arial" w:eastAsia="Arial" w:hAnsi="Arial"/>
                <w:sz w:val="14"/>
                <w:szCs w:val="14"/>
                <w:b w:val="1"/>
                <w:bCs w:val="1"/>
                <w:color w:val="auto"/>
              </w:rPr>
              <w:t>Stock Awards</w:t>
            </w:r>
          </w:p>
        </w:tc>
      </w:tr>
      <w:tr>
        <w:trPr>
          <w:trHeight w:val="173"/>
        </w:trPr>
        <w:tc>
          <w:tcPr>
            <w:tcW w:w="5080" w:type="dxa"/>
            <w:vAlign w:val="bottom"/>
          </w:tcPr>
          <w:p>
            <w:pPr>
              <w:spacing w:after="0"/>
              <w:rPr>
                <w:sz w:val="15"/>
                <w:szCs w:val="15"/>
                <w:color w:val="auto"/>
              </w:rPr>
            </w:pPr>
          </w:p>
        </w:tc>
        <w:tc>
          <w:tcPr>
            <w:tcW w:w="1700" w:type="dxa"/>
            <w:vAlign w:val="bottom"/>
          </w:tcPr>
          <w:p>
            <w:pPr>
              <w:jc w:val="right"/>
              <w:ind w:right="189"/>
              <w:spacing w:after="0"/>
              <w:rPr>
                <w:sz w:val="20"/>
                <w:szCs w:val="20"/>
                <w:color w:val="auto"/>
              </w:rPr>
            </w:pPr>
            <w:r>
              <w:rPr>
                <w:rFonts w:ascii="Arial" w:cs="Arial" w:eastAsia="Arial" w:hAnsi="Arial"/>
                <w:sz w:val="14"/>
                <w:szCs w:val="14"/>
                <w:b w:val="1"/>
                <w:bCs w:val="1"/>
                <w:color w:val="auto"/>
              </w:rPr>
              <w:t>Number of Shares</w:t>
            </w:r>
          </w:p>
        </w:tc>
        <w:tc>
          <w:tcPr>
            <w:tcW w:w="14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Value Realized</w:t>
            </w:r>
          </w:p>
        </w:tc>
        <w:tc>
          <w:tcPr>
            <w:tcW w:w="1640" w:type="dxa"/>
            <w:vAlign w:val="bottom"/>
          </w:tcPr>
          <w:p>
            <w:pPr>
              <w:jc w:val="right"/>
              <w:ind w:right="189"/>
              <w:spacing w:after="0"/>
              <w:rPr>
                <w:sz w:val="20"/>
                <w:szCs w:val="20"/>
                <w:color w:val="auto"/>
              </w:rPr>
            </w:pPr>
            <w:r>
              <w:rPr>
                <w:rFonts w:ascii="Arial" w:cs="Arial" w:eastAsia="Arial" w:hAnsi="Arial"/>
                <w:sz w:val="14"/>
                <w:szCs w:val="14"/>
                <w:b w:val="1"/>
                <w:bCs w:val="1"/>
                <w:color w:val="auto"/>
              </w:rPr>
              <w:t>Number of Shares</w:t>
            </w:r>
          </w:p>
        </w:tc>
        <w:tc>
          <w:tcPr>
            <w:tcW w:w="1360" w:type="dxa"/>
            <w:vAlign w:val="bottom"/>
          </w:tcPr>
          <w:p>
            <w:pPr>
              <w:jc w:val="right"/>
              <w:ind w:right="29"/>
              <w:spacing w:after="0"/>
              <w:rPr>
                <w:sz w:val="20"/>
                <w:szCs w:val="20"/>
                <w:color w:val="auto"/>
              </w:rPr>
            </w:pPr>
            <w:r>
              <w:rPr>
                <w:rFonts w:ascii="Arial" w:cs="Arial" w:eastAsia="Arial" w:hAnsi="Arial"/>
                <w:sz w:val="14"/>
                <w:szCs w:val="14"/>
                <w:b w:val="1"/>
                <w:bCs w:val="1"/>
                <w:color w:val="auto"/>
              </w:rPr>
              <w:t>Value Realized</w:t>
            </w:r>
          </w:p>
        </w:tc>
      </w:tr>
      <w:tr>
        <w:trPr>
          <w:trHeight w:val="159"/>
        </w:trPr>
        <w:tc>
          <w:tcPr>
            <w:tcW w:w="5080" w:type="dxa"/>
            <w:vAlign w:val="bottom"/>
          </w:tcPr>
          <w:p>
            <w:pPr>
              <w:spacing w:after="0"/>
              <w:rPr>
                <w:sz w:val="13"/>
                <w:szCs w:val="13"/>
                <w:color w:val="auto"/>
              </w:rPr>
            </w:pPr>
          </w:p>
        </w:tc>
        <w:tc>
          <w:tcPr>
            <w:tcW w:w="1700" w:type="dxa"/>
            <w:vAlign w:val="bottom"/>
          </w:tcPr>
          <w:p>
            <w:pPr>
              <w:jc w:val="right"/>
              <w:ind w:right="189"/>
              <w:spacing w:after="0" w:line="159" w:lineRule="exact"/>
              <w:rPr>
                <w:sz w:val="20"/>
                <w:szCs w:val="20"/>
                <w:color w:val="auto"/>
              </w:rPr>
            </w:pPr>
            <w:r>
              <w:rPr>
                <w:rFonts w:ascii="Arial" w:cs="Arial" w:eastAsia="Arial" w:hAnsi="Arial"/>
                <w:sz w:val="14"/>
                <w:szCs w:val="14"/>
                <w:b w:val="1"/>
                <w:bCs w:val="1"/>
                <w:color w:val="auto"/>
                <w:w w:val="99"/>
              </w:rPr>
              <w:t>Acquired on Exercise</w:t>
            </w:r>
          </w:p>
        </w:tc>
        <w:tc>
          <w:tcPr>
            <w:tcW w:w="1460" w:type="dxa"/>
            <w:vAlign w:val="bottom"/>
            <w:gridSpan w:val="2"/>
          </w:tcPr>
          <w:p>
            <w:pPr>
              <w:jc w:val="right"/>
              <w:ind w:right="200"/>
              <w:spacing w:after="0" w:line="159" w:lineRule="exact"/>
              <w:rPr>
                <w:sz w:val="20"/>
                <w:szCs w:val="20"/>
                <w:color w:val="auto"/>
              </w:rPr>
            </w:pPr>
            <w:r>
              <w:rPr>
                <w:rFonts w:ascii="Arial" w:cs="Arial" w:eastAsia="Arial" w:hAnsi="Arial"/>
                <w:sz w:val="14"/>
                <w:szCs w:val="14"/>
                <w:b w:val="1"/>
                <w:bCs w:val="1"/>
                <w:color w:val="auto"/>
              </w:rPr>
              <w:t>on Exercise</w:t>
            </w:r>
          </w:p>
        </w:tc>
        <w:tc>
          <w:tcPr>
            <w:tcW w:w="1640" w:type="dxa"/>
            <w:vAlign w:val="bottom"/>
          </w:tcPr>
          <w:p>
            <w:pPr>
              <w:jc w:val="right"/>
              <w:ind w:right="189"/>
              <w:spacing w:after="0" w:line="159" w:lineRule="exact"/>
              <w:rPr>
                <w:sz w:val="20"/>
                <w:szCs w:val="20"/>
                <w:color w:val="auto"/>
              </w:rPr>
            </w:pPr>
            <w:r>
              <w:rPr>
                <w:rFonts w:ascii="Arial" w:cs="Arial" w:eastAsia="Arial" w:hAnsi="Arial"/>
                <w:sz w:val="14"/>
                <w:szCs w:val="14"/>
                <w:b w:val="1"/>
                <w:bCs w:val="1"/>
                <w:color w:val="auto"/>
                <w:w w:val="99"/>
              </w:rPr>
              <w:t>Acquired on Vesting</w:t>
            </w:r>
          </w:p>
        </w:tc>
        <w:tc>
          <w:tcPr>
            <w:tcW w:w="136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on Vesting</w:t>
            </w:r>
          </w:p>
        </w:tc>
      </w:tr>
      <w:tr>
        <w:trPr>
          <w:trHeight w:val="234"/>
        </w:trPr>
        <w:tc>
          <w:tcPr>
            <w:tcW w:w="5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Officer</w:t>
            </w:r>
          </w:p>
        </w:tc>
        <w:tc>
          <w:tcPr>
            <w:tcW w:w="17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auto"/>
            </w:tcBorders>
          </w:tcPr>
          <w:p>
            <w:pPr>
              <w:jc w:val="right"/>
              <w:ind w:right="189"/>
              <w:spacing w:after="0" w:line="22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(1)</w:t>
            </w:r>
          </w:p>
        </w:tc>
        <w:tc>
          <w:tcPr>
            <w:tcW w:w="1360" w:type="dxa"/>
            <w:vAlign w:val="bottom"/>
            <w:tcBorders>
              <w:bottom w:val="single" w:sz="8" w:color="auto"/>
            </w:tcBorders>
          </w:tcPr>
          <w:p>
            <w:pPr>
              <w:jc w:val="right"/>
              <w:ind w:right="29"/>
              <w:spacing w:after="0" w:line="22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(2)</w:t>
            </w:r>
          </w:p>
        </w:tc>
      </w:tr>
      <w:tr>
        <w:trPr>
          <w:trHeight w:val="207"/>
        </w:trPr>
        <w:tc>
          <w:tcPr>
            <w:tcW w:w="5080" w:type="dxa"/>
            <w:vAlign w:val="bottom"/>
            <w:tcBorders>
              <w:bottom w:val="single" w:sz="8" w:color="949599"/>
            </w:tcBorders>
          </w:tcPr>
          <w:p>
            <w:pPr>
              <w:ind w:left="80"/>
              <w:spacing w:after="0"/>
              <w:rPr>
                <w:sz w:val="20"/>
                <w:szCs w:val="20"/>
                <w:color w:val="auto"/>
              </w:rPr>
            </w:pPr>
            <w:r>
              <w:rPr>
                <w:rFonts w:ascii="Arial" w:cs="Arial" w:eastAsia="Arial" w:hAnsi="Arial"/>
                <w:sz w:val="14"/>
                <w:szCs w:val="14"/>
                <w:b w:val="1"/>
                <w:bCs w:val="1"/>
                <w:color w:val="009A4B"/>
              </w:rPr>
              <w:t>Seifi Ghasemi</w:t>
            </w:r>
          </w:p>
        </w:tc>
        <w:tc>
          <w:tcPr>
            <w:tcW w:w="1700" w:type="dxa"/>
            <w:vAlign w:val="bottom"/>
            <w:tcBorders>
              <w:bottom w:val="single" w:sz="8" w:color="949599"/>
            </w:tcBorders>
          </w:tcPr>
          <w:p>
            <w:pPr>
              <w:jc w:val="right"/>
              <w:ind w:right="18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949599"/>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949599"/>
            </w:tcBorders>
          </w:tcPr>
          <w:p>
            <w:pPr>
              <w:jc w:val="right"/>
              <w:ind w:right="189"/>
              <w:spacing w:after="0"/>
              <w:rPr>
                <w:sz w:val="20"/>
                <w:szCs w:val="20"/>
                <w:color w:val="auto"/>
              </w:rPr>
            </w:pPr>
            <w:r>
              <w:rPr>
                <w:rFonts w:ascii="Arial" w:cs="Arial" w:eastAsia="Arial" w:hAnsi="Arial"/>
                <w:sz w:val="14"/>
                <w:szCs w:val="14"/>
                <w:color w:val="auto"/>
              </w:rPr>
              <w:t>87,156</w:t>
            </w:r>
          </w:p>
        </w:tc>
        <w:tc>
          <w:tcPr>
            <w:tcW w:w="1360" w:type="dxa"/>
            <w:vAlign w:val="bottom"/>
            <w:tcBorders>
              <w:bottom w:val="single" w:sz="8" w:color="949599"/>
            </w:tcBorders>
          </w:tcPr>
          <w:p>
            <w:pPr>
              <w:jc w:val="right"/>
              <w:ind w:right="29"/>
              <w:spacing w:after="0"/>
              <w:rPr>
                <w:sz w:val="20"/>
                <w:szCs w:val="20"/>
                <w:color w:val="auto"/>
              </w:rPr>
            </w:pPr>
            <w:r>
              <w:rPr>
                <w:rFonts w:ascii="Arial" w:cs="Arial" w:eastAsia="Arial" w:hAnsi="Arial"/>
                <w:sz w:val="14"/>
                <w:szCs w:val="14"/>
                <w:color w:val="auto"/>
              </w:rPr>
              <w:t>24,633,772</w:t>
            </w:r>
          </w:p>
        </w:tc>
      </w:tr>
      <w:tr>
        <w:trPr>
          <w:trHeight w:val="206"/>
        </w:trPr>
        <w:tc>
          <w:tcPr>
            <w:tcW w:w="5080" w:type="dxa"/>
            <w:vAlign w:val="bottom"/>
            <w:tcBorders>
              <w:bottom w:val="single" w:sz="8" w:color="949599"/>
            </w:tcBorders>
          </w:tcPr>
          <w:p>
            <w:pPr>
              <w:ind w:left="80"/>
              <w:spacing w:after="0"/>
              <w:rPr>
                <w:sz w:val="20"/>
                <w:szCs w:val="20"/>
                <w:color w:val="auto"/>
              </w:rPr>
            </w:pPr>
            <w:r>
              <w:rPr>
                <w:rFonts w:ascii="Arial" w:cs="Arial" w:eastAsia="Arial" w:hAnsi="Arial"/>
                <w:sz w:val="14"/>
                <w:szCs w:val="14"/>
                <w:b w:val="1"/>
                <w:bCs w:val="1"/>
                <w:color w:val="009A4B"/>
              </w:rPr>
              <w:t>Melissa N. Schaeffer</w:t>
            </w:r>
          </w:p>
        </w:tc>
        <w:tc>
          <w:tcPr>
            <w:tcW w:w="1700" w:type="dxa"/>
            <w:vAlign w:val="bottom"/>
            <w:tcBorders>
              <w:bottom w:val="single" w:sz="8" w:color="949599"/>
            </w:tcBorders>
          </w:tcPr>
          <w:p>
            <w:pPr>
              <w:jc w:val="right"/>
              <w:ind w:right="18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949599"/>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949599"/>
            </w:tcBorders>
          </w:tcPr>
          <w:p>
            <w:pPr>
              <w:jc w:val="right"/>
              <w:ind w:right="189"/>
              <w:spacing w:after="0"/>
              <w:rPr>
                <w:sz w:val="20"/>
                <w:szCs w:val="20"/>
                <w:color w:val="auto"/>
              </w:rPr>
            </w:pPr>
            <w:r>
              <w:rPr>
                <w:rFonts w:ascii="Arial" w:cs="Arial" w:eastAsia="Arial" w:hAnsi="Arial"/>
                <w:sz w:val="14"/>
                <w:szCs w:val="14"/>
                <w:color w:val="auto"/>
              </w:rPr>
              <w:t>1,239</w:t>
            </w:r>
          </w:p>
        </w:tc>
        <w:tc>
          <w:tcPr>
            <w:tcW w:w="1360" w:type="dxa"/>
            <w:vAlign w:val="bottom"/>
            <w:tcBorders>
              <w:bottom w:val="single" w:sz="8" w:color="949599"/>
            </w:tcBorders>
          </w:tcPr>
          <w:p>
            <w:pPr>
              <w:jc w:val="right"/>
              <w:ind w:right="29"/>
              <w:spacing w:after="0"/>
              <w:rPr>
                <w:sz w:val="20"/>
                <w:szCs w:val="20"/>
                <w:color w:val="auto"/>
              </w:rPr>
            </w:pPr>
            <w:r>
              <w:rPr>
                <w:rFonts w:ascii="Arial" w:cs="Arial" w:eastAsia="Arial" w:hAnsi="Arial"/>
                <w:sz w:val="14"/>
                <w:szCs w:val="14"/>
                <w:color w:val="auto"/>
              </w:rPr>
              <w:t>350,191</w:t>
            </w:r>
          </w:p>
        </w:tc>
      </w:tr>
      <w:tr>
        <w:trPr>
          <w:trHeight w:val="206"/>
        </w:trPr>
        <w:tc>
          <w:tcPr>
            <w:tcW w:w="5080" w:type="dxa"/>
            <w:vAlign w:val="bottom"/>
            <w:tcBorders>
              <w:bottom w:val="single" w:sz="8" w:color="949599"/>
            </w:tcBorders>
          </w:tcPr>
          <w:p>
            <w:pPr>
              <w:ind w:left="80"/>
              <w:spacing w:after="0"/>
              <w:rPr>
                <w:sz w:val="20"/>
                <w:szCs w:val="20"/>
                <w:color w:val="auto"/>
              </w:rPr>
            </w:pPr>
            <w:r>
              <w:rPr>
                <w:rFonts w:ascii="Arial" w:cs="Arial" w:eastAsia="Arial" w:hAnsi="Arial"/>
                <w:sz w:val="14"/>
                <w:szCs w:val="14"/>
                <w:b w:val="1"/>
                <w:bCs w:val="1"/>
                <w:color w:val="009A4B"/>
              </w:rPr>
              <w:t>M. Scott Crocco</w:t>
            </w:r>
          </w:p>
        </w:tc>
        <w:tc>
          <w:tcPr>
            <w:tcW w:w="1700" w:type="dxa"/>
            <w:vAlign w:val="bottom"/>
            <w:tcBorders>
              <w:bottom w:val="single" w:sz="8" w:color="949599"/>
            </w:tcBorders>
          </w:tcPr>
          <w:p>
            <w:pPr>
              <w:jc w:val="right"/>
              <w:ind w:right="189"/>
              <w:spacing w:after="0"/>
              <w:rPr>
                <w:sz w:val="20"/>
                <w:szCs w:val="20"/>
                <w:color w:val="auto"/>
              </w:rPr>
            </w:pPr>
            <w:r>
              <w:rPr>
                <w:rFonts w:ascii="Arial" w:cs="Arial" w:eastAsia="Arial" w:hAnsi="Arial"/>
                <w:sz w:val="14"/>
                <w:szCs w:val="14"/>
                <w:color w:val="auto"/>
              </w:rPr>
              <w:t>4,314</w:t>
            </w:r>
          </w:p>
        </w:tc>
        <w:tc>
          <w:tcPr>
            <w:tcW w:w="126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873,628</w:t>
            </w:r>
          </w:p>
        </w:tc>
        <w:tc>
          <w:tcPr>
            <w:tcW w:w="200" w:type="dxa"/>
            <w:vAlign w:val="bottom"/>
            <w:tcBorders>
              <w:bottom w:val="single" w:sz="8" w:color="949599"/>
            </w:tcBorders>
          </w:tcPr>
          <w:p>
            <w:pPr>
              <w:spacing w:after="0"/>
              <w:rPr>
                <w:sz w:val="17"/>
                <w:szCs w:val="17"/>
                <w:color w:val="auto"/>
              </w:rPr>
            </w:pPr>
          </w:p>
        </w:tc>
        <w:tc>
          <w:tcPr>
            <w:tcW w:w="1640" w:type="dxa"/>
            <w:vAlign w:val="bottom"/>
            <w:tcBorders>
              <w:bottom w:val="single" w:sz="8" w:color="949599"/>
            </w:tcBorders>
          </w:tcPr>
          <w:p>
            <w:pPr>
              <w:jc w:val="right"/>
              <w:ind w:right="189"/>
              <w:spacing w:after="0"/>
              <w:rPr>
                <w:sz w:val="20"/>
                <w:szCs w:val="20"/>
                <w:color w:val="auto"/>
              </w:rPr>
            </w:pPr>
            <w:r>
              <w:rPr>
                <w:rFonts w:ascii="Arial" w:cs="Arial" w:eastAsia="Arial" w:hAnsi="Arial"/>
                <w:sz w:val="14"/>
                <w:szCs w:val="14"/>
                <w:color w:val="auto"/>
              </w:rPr>
              <w:t>16,860</w:t>
            </w:r>
          </w:p>
        </w:tc>
        <w:tc>
          <w:tcPr>
            <w:tcW w:w="1360" w:type="dxa"/>
            <w:vAlign w:val="bottom"/>
            <w:tcBorders>
              <w:bottom w:val="single" w:sz="8" w:color="949599"/>
            </w:tcBorders>
          </w:tcPr>
          <w:p>
            <w:pPr>
              <w:jc w:val="right"/>
              <w:ind w:right="29"/>
              <w:spacing w:after="0"/>
              <w:rPr>
                <w:sz w:val="20"/>
                <w:szCs w:val="20"/>
                <w:color w:val="auto"/>
              </w:rPr>
            </w:pPr>
            <w:r>
              <w:rPr>
                <w:rFonts w:ascii="Arial" w:cs="Arial" w:eastAsia="Arial" w:hAnsi="Arial"/>
                <w:sz w:val="14"/>
                <w:szCs w:val="14"/>
                <w:color w:val="auto"/>
              </w:rPr>
              <w:t>4,765,310</w:t>
            </w:r>
          </w:p>
        </w:tc>
      </w:tr>
      <w:tr>
        <w:trPr>
          <w:trHeight w:val="206"/>
        </w:trPr>
        <w:tc>
          <w:tcPr>
            <w:tcW w:w="5080" w:type="dxa"/>
            <w:vAlign w:val="bottom"/>
            <w:tcBorders>
              <w:bottom w:val="single" w:sz="8" w:color="949599"/>
            </w:tcBorders>
          </w:tcPr>
          <w:p>
            <w:pPr>
              <w:ind w:left="80"/>
              <w:spacing w:after="0"/>
              <w:rPr>
                <w:sz w:val="20"/>
                <w:szCs w:val="20"/>
                <w:color w:val="auto"/>
              </w:rPr>
            </w:pPr>
            <w:r>
              <w:rPr>
                <w:rFonts w:ascii="Arial" w:cs="Arial" w:eastAsia="Arial" w:hAnsi="Arial"/>
                <w:sz w:val="14"/>
                <w:szCs w:val="14"/>
                <w:b w:val="1"/>
                <w:bCs w:val="1"/>
                <w:color w:val="009A4B"/>
              </w:rPr>
              <w:t>Sean D. Major</w:t>
            </w:r>
          </w:p>
        </w:tc>
        <w:tc>
          <w:tcPr>
            <w:tcW w:w="1700" w:type="dxa"/>
            <w:vAlign w:val="bottom"/>
            <w:tcBorders>
              <w:bottom w:val="single" w:sz="8" w:color="949599"/>
            </w:tcBorders>
          </w:tcPr>
          <w:p>
            <w:pPr>
              <w:jc w:val="right"/>
              <w:ind w:right="18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949599"/>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949599"/>
            </w:tcBorders>
          </w:tcPr>
          <w:p>
            <w:pPr>
              <w:jc w:val="right"/>
              <w:ind w:right="189"/>
              <w:spacing w:after="0"/>
              <w:rPr>
                <w:sz w:val="20"/>
                <w:szCs w:val="20"/>
                <w:color w:val="auto"/>
              </w:rPr>
            </w:pPr>
            <w:r>
              <w:rPr>
                <w:rFonts w:ascii="Arial" w:cs="Arial" w:eastAsia="Arial" w:hAnsi="Arial"/>
                <w:sz w:val="14"/>
                <w:szCs w:val="14"/>
                <w:color w:val="auto"/>
              </w:rPr>
              <w:t>7,408</w:t>
            </w:r>
          </w:p>
        </w:tc>
        <w:tc>
          <w:tcPr>
            <w:tcW w:w="1360" w:type="dxa"/>
            <w:vAlign w:val="bottom"/>
            <w:tcBorders>
              <w:bottom w:val="single" w:sz="8" w:color="949599"/>
            </w:tcBorders>
          </w:tcPr>
          <w:p>
            <w:pPr>
              <w:jc w:val="right"/>
              <w:ind w:right="29"/>
              <w:spacing w:after="0"/>
              <w:rPr>
                <w:sz w:val="20"/>
                <w:szCs w:val="20"/>
                <w:color w:val="auto"/>
              </w:rPr>
            </w:pPr>
            <w:r>
              <w:rPr>
                <w:rFonts w:ascii="Arial" w:cs="Arial" w:eastAsia="Arial" w:hAnsi="Arial"/>
                <w:sz w:val="14"/>
                <w:szCs w:val="14"/>
                <w:color w:val="auto"/>
              </w:rPr>
              <w:t>2,093,797</w:t>
            </w:r>
          </w:p>
        </w:tc>
      </w:tr>
      <w:tr>
        <w:trPr>
          <w:trHeight w:val="219"/>
        </w:trPr>
        <w:tc>
          <w:tcPr>
            <w:tcW w:w="5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9A4B"/>
              </w:rPr>
              <w:t>Samir J. Serhan</w:t>
            </w:r>
          </w:p>
        </w:tc>
        <w:tc>
          <w:tcPr>
            <w:tcW w:w="17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13,394</w:t>
            </w:r>
          </w:p>
        </w:tc>
        <w:tc>
          <w:tcPr>
            <w:tcW w:w="13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3,747,988</w:t>
            </w:r>
          </w:p>
        </w:tc>
      </w:tr>
    </w:tbl>
    <w:p>
      <w:pPr>
        <w:spacing w:after="0" w:line="164" w:lineRule="exact"/>
        <w:rPr>
          <w:sz w:val="20"/>
          <w:szCs w:val="20"/>
          <w:color w:val="auto"/>
        </w:rPr>
      </w:pPr>
    </w:p>
    <w:p>
      <w:pPr>
        <w:jc w:val="both"/>
        <w:ind w:left="300" w:right="60" w:hanging="294"/>
        <w:spacing w:after="0" w:line="181" w:lineRule="auto"/>
        <w:tabs>
          <w:tab w:leader="none" w:pos="300" w:val="left"/>
        </w:tabs>
        <w:numPr>
          <w:ilvl w:val="0"/>
          <w:numId w:val="60"/>
        </w:numPr>
        <w:rPr>
          <w:rFonts w:ascii="Arial" w:cs="Arial" w:eastAsia="Arial" w:hAnsi="Arial"/>
          <w:sz w:val="24"/>
          <w:szCs w:val="24"/>
          <w:color w:val="auto"/>
          <w:vertAlign w:val="superscript"/>
        </w:rPr>
      </w:pPr>
      <w:r>
        <w:rPr>
          <w:rFonts w:ascii="Arial" w:cs="Arial" w:eastAsia="Arial" w:hAnsi="Arial"/>
          <w:sz w:val="14"/>
          <w:szCs w:val="14"/>
          <w:color w:val="auto"/>
        </w:rPr>
        <w:t>The shares in this column include RSUs granted to Mr. Ghasemi, Ms. Schaeffer, Mr. Crocco and Dr. Serhan in fiscal 2017 that vested in December 2020, performance shares granted to all in fiscal 2018 that vested in December 2020 and an RSU retention grant to Dr. Serhan granted in December 2018, one-third of which vested in December 2020.</w:t>
      </w:r>
    </w:p>
    <w:p>
      <w:pPr>
        <w:ind w:left="300" w:hanging="294"/>
        <w:spacing w:after="0" w:line="231" w:lineRule="auto"/>
        <w:tabs>
          <w:tab w:leader="none" w:pos="300" w:val="left"/>
        </w:tabs>
        <w:numPr>
          <w:ilvl w:val="0"/>
          <w:numId w:val="60"/>
        </w:numPr>
        <w:rPr>
          <w:rFonts w:ascii="Arial" w:cs="Arial" w:eastAsia="Arial" w:hAnsi="Arial"/>
          <w:sz w:val="24"/>
          <w:szCs w:val="24"/>
          <w:color w:val="auto"/>
          <w:vertAlign w:val="superscript"/>
        </w:rPr>
      </w:pPr>
      <w:r>
        <w:rPr>
          <w:rFonts w:ascii="Arial" w:cs="Arial" w:eastAsia="Arial" w:hAnsi="Arial"/>
          <w:sz w:val="14"/>
          <w:szCs w:val="14"/>
          <w:color w:val="auto"/>
        </w:rPr>
        <w:t>The following dividend equivalents were paid on the RSUs but are not included in the Value Realized on Vesting: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Dividend</w:t>
            </w:r>
          </w:p>
        </w:tc>
      </w:tr>
      <w:tr>
        <w:trPr>
          <w:trHeight w:val="133"/>
        </w:trPr>
        <w:tc>
          <w:tcPr>
            <w:tcW w:w="3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260" w:type="dxa"/>
            <w:vAlign w:val="bottom"/>
            <w:gridSpan w:val="2"/>
          </w:tcPr>
          <w:p>
            <w:pPr>
              <w:jc w:val="right"/>
              <w:ind w:right="240"/>
              <w:spacing w:after="0" w:line="133" w:lineRule="exact"/>
              <w:rPr>
                <w:sz w:val="20"/>
                <w:szCs w:val="20"/>
                <w:color w:val="auto"/>
              </w:rPr>
            </w:pPr>
            <w:r>
              <w:rPr>
                <w:rFonts w:ascii="Arial" w:cs="Arial" w:eastAsia="Arial" w:hAnsi="Arial"/>
                <w:sz w:val="12"/>
                <w:szCs w:val="12"/>
                <w:b w:val="1"/>
                <w:bCs w:val="1"/>
                <w:color w:val="auto"/>
              </w:rPr>
              <w:t>Equivalents</w:t>
            </w:r>
          </w:p>
        </w:tc>
      </w:tr>
      <w:tr>
        <w:trPr>
          <w:trHeight w:val="162"/>
        </w:trPr>
        <w:tc>
          <w:tcPr>
            <w:tcW w:w="3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Paid</w:t>
            </w:r>
          </w:p>
        </w:tc>
      </w:tr>
      <w:tr>
        <w:trPr>
          <w:trHeight w:val="197"/>
        </w:trPr>
        <w:tc>
          <w:tcPr>
            <w:tcW w:w="320" w:type="dxa"/>
            <w:vAlign w:val="bottom"/>
          </w:tcPr>
          <w:p>
            <w:pPr>
              <w:spacing w:after="0"/>
              <w:rPr>
                <w:sz w:val="17"/>
                <w:szCs w:val="17"/>
                <w:color w:val="auto"/>
              </w:rPr>
            </w:pPr>
          </w:p>
        </w:tc>
        <w:tc>
          <w:tcPr>
            <w:tcW w:w="422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Officer</w:t>
            </w:r>
          </w:p>
        </w:tc>
        <w:tc>
          <w:tcPr>
            <w:tcW w:w="33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7"/>
                <w:szCs w:val="17"/>
                <w:color w:val="auto"/>
              </w:rPr>
            </w:pPr>
          </w:p>
        </w:tc>
      </w:tr>
      <w:tr>
        <w:trPr>
          <w:trHeight w:val="207"/>
        </w:trPr>
        <w:tc>
          <w:tcPr>
            <w:tcW w:w="320" w:type="dxa"/>
            <w:vAlign w:val="bottom"/>
          </w:tcPr>
          <w:p>
            <w:pPr>
              <w:spacing w:after="0"/>
              <w:rPr>
                <w:sz w:val="18"/>
                <w:szCs w:val="18"/>
                <w:color w:val="auto"/>
              </w:rPr>
            </w:pPr>
          </w:p>
        </w:tc>
        <w:tc>
          <w:tcPr>
            <w:tcW w:w="4220" w:type="dxa"/>
            <w:vAlign w:val="bottom"/>
            <w:tcBorders>
              <w:bottom w:val="single" w:sz="8" w:color="949599"/>
            </w:tcBorders>
          </w:tcPr>
          <w:p>
            <w:pPr>
              <w:ind w:left="80"/>
              <w:spacing w:after="0"/>
              <w:rPr>
                <w:sz w:val="20"/>
                <w:szCs w:val="20"/>
                <w:color w:val="auto"/>
              </w:rPr>
            </w:pPr>
            <w:r>
              <w:rPr>
                <w:rFonts w:ascii="Arial" w:cs="Arial" w:eastAsia="Arial" w:hAnsi="Arial"/>
                <w:sz w:val="14"/>
                <w:szCs w:val="14"/>
                <w:b w:val="1"/>
                <w:bCs w:val="1"/>
                <w:color w:val="009A4B"/>
              </w:rPr>
              <w:t>Seifi Ghasemi</w:t>
            </w:r>
          </w:p>
        </w:tc>
        <w:tc>
          <w:tcPr>
            <w:tcW w:w="3340" w:type="dxa"/>
            <w:vAlign w:val="bottom"/>
            <w:tcBorders>
              <w:bottom w:val="single" w:sz="8" w:color="949599"/>
            </w:tcBorders>
          </w:tcPr>
          <w:p>
            <w:pPr>
              <w:spacing w:after="0"/>
              <w:rPr>
                <w:sz w:val="18"/>
                <w:szCs w:val="18"/>
                <w:color w:val="auto"/>
              </w:rPr>
            </w:pPr>
          </w:p>
        </w:tc>
        <w:tc>
          <w:tcPr>
            <w:tcW w:w="2100" w:type="dxa"/>
            <w:vAlign w:val="bottom"/>
            <w:tcBorders>
              <w:bottom w:val="single" w:sz="8" w:color="949599"/>
            </w:tcBorders>
          </w:tcPr>
          <w:p>
            <w:pPr>
              <w:spacing w:after="0"/>
              <w:rPr>
                <w:sz w:val="18"/>
                <w:szCs w:val="18"/>
                <w:color w:val="auto"/>
              </w:rPr>
            </w:pPr>
          </w:p>
        </w:tc>
        <w:tc>
          <w:tcPr>
            <w:tcW w:w="1120" w:type="dxa"/>
            <w:vAlign w:val="bottom"/>
            <w:tcBorders>
              <w:bottom w:val="single" w:sz="8" w:color="949599"/>
            </w:tcBorders>
          </w:tcPr>
          <w:p>
            <w:pPr>
              <w:jc w:val="right"/>
              <w:ind w:right="31"/>
              <w:spacing w:after="0"/>
              <w:rPr>
                <w:sz w:val="20"/>
                <w:szCs w:val="20"/>
                <w:color w:val="auto"/>
              </w:rPr>
            </w:pPr>
            <w:r>
              <w:rPr>
                <w:rFonts w:ascii="Arial" w:cs="Arial" w:eastAsia="Arial" w:hAnsi="Arial"/>
                <w:sz w:val="14"/>
                <w:szCs w:val="14"/>
                <w:color w:val="auto"/>
              </w:rPr>
              <w:t>1,310,756</w:t>
            </w:r>
          </w:p>
        </w:tc>
        <w:tc>
          <w:tcPr>
            <w:tcW w:w="140" w:type="dxa"/>
            <w:vAlign w:val="bottom"/>
          </w:tcPr>
          <w:p>
            <w:pPr>
              <w:spacing w:after="0"/>
              <w:rPr>
                <w:sz w:val="18"/>
                <w:szCs w:val="18"/>
                <w:color w:val="auto"/>
              </w:rPr>
            </w:pPr>
          </w:p>
        </w:tc>
      </w:tr>
      <w:tr>
        <w:trPr>
          <w:trHeight w:val="206"/>
        </w:trPr>
        <w:tc>
          <w:tcPr>
            <w:tcW w:w="320" w:type="dxa"/>
            <w:vAlign w:val="bottom"/>
          </w:tcPr>
          <w:p>
            <w:pPr>
              <w:spacing w:after="0"/>
              <w:rPr>
                <w:sz w:val="17"/>
                <w:szCs w:val="17"/>
                <w:color w:val="auto"/>
              </w:rPr>
            </w:pPr>
          </w:p>
        </w:tc>
        <w:tc>
          <w:tcPr>
            <w:tcW w:w="4220" w:type="dxa"/>
            <w:vAlign w:val="bottom"/>
            <w:tcBorders>
              <w:bottom w:val="single" w:sz="8" w:color="949599"/>
            </w:tcBorders>
          </w:tcPr>
          <w:p>
            <w:pPr>
              <w:ind w:left="80"/>
              <w:spacing w:after="0"/>
              <w:rPr>
                <w:sz w:val="20"/>
                <w:szCs w:val="20"/>
                <w:color w:val="auto"/>
              </w:rPr>
            </w:pPr>
            <w:r>
              <w:rPr>
                <w:rFonts w:ascii="Arial" w:cs="Arial" w:eastAsia="Arial" w:hAnsi="Arial"/>
                <w:sz w:val="14"/>
                <w:szCs w:val="14"/>
                <w:b w:val="1"/>
                <w:bCs w:val="1"/>
                <w:color w:val="009A4B"/>
              </w:rPr>
              <w:t>Melissa N. Schaeffer</w:t>
            </w:r>
          </w:p>
        </w:tc>
        <w:tc>
          <w:tcPr>
            <w:tcW w:w="3340" w:type="dxa"/>
            <w:vAlign w:val="bottom"/>
            <w:tcBorders>
              <w:bottom w:val="single" w:sz="8" w:color="949599"/>
            </w:tcBorders>
          </w:tcPr>
          <w:p>
            <w:pPr>
              <w:spacing w:after="0"/>
              <w:rPr>
                <w:sz w:val="17"/>
                <w:szCs w:val="17"/>
                <w:color w:val="auto"/>
              </w:rPr>
            </w:pPr>
          </w:p>
        </w:tc>
        <w:tc>
          <w:tcPr>
            <w:tcW w:w="2100" w:type="dxa"/>
            <w:vAlign w:val="bottom"/>
            <w:tcBorders>
              <w:bottom w:val="single" w:sz="8" w:color="949599"/>
            </w:tcBorders>
          </w:tcPr>
          <w:p>
            <w:pPr>
              <w:spacing w:after="0"/>
              <w:rPr>
                <w:sz w:val="17"/>
                <w:szCs w:val="17"/>
                <w:color w:val="auto"/>
              </w:rPr>
            </w:pPr>
          </w:p>
        </w:tc>
        <w:tc>
          <w:tcPr>
            <w:tcW w:w="1120" w:type="dxa"/>
            <w:vAlign w:val="bottom"/>
            <w:tcBorders>
              <w:bottom w:val="single" w:sz="8" w:color="949599"/>
            </w:tcBorders>
          </w:tcPr>
          <w:p>
            <w:pPr>
              <w:jc w:val="right"/>
              <w:ind w:right="31"/>
              <w:spacing w:after="0"/>
              <w:rPr>
                <w:sz w:val="20"/>
                <w:szCs w:val="20"/>
                <w:color w:val="auto"/>
              </w:rPr>
            </w:pPr>
            <w:r>
              <w:rPr>
                <w:rFonts w:ascii="Arial" w:cs="Arial" w:eastAsia="Arial" w:hAnsi="Arial"/>
                <w:sz w:val="14"/>
                <w:szCs w:val="14"/>
                <w:color w:val="auto"/>
              </w:rPr>
              <w:t>18,653</w:t>
            </w:r>
          </w:p>
        </w:tc>
        <w:tc>
          <w:tcPr>
            <w:tcW w:w="140" w:type="dxa"/>
            <w:vAlign w:val="bottom"/>
          </w:tcPr>
          <w:p>
            <w:pPr>
              <w:spacing w:after="0"/>
              <w:rPr>
                <w:sz w:val="17"/>
                <w:szCs w:val="17"/>
                <w:color w:val="auto"/>
              </w:rPr>
            </w:pPr>
          </w:p>
        </w:tc>
      </w:tr>
      <w:tr>
        <w:trPr>
          <w:trHeight w:val="206"/>
        </w:trPr>
        <w:tc>
          <w:tcPr>
            <w:tcW w:w="320" w:type="dxa"/>
            <w:vAlign w:val="bottom"/>
          </w:tcPr>
          <w:p>
            <w:pPr>
              <w:spacing w:after="0"/>
              <w:rPr>
                <w:sz w:val="17"/>
                <w:szCs w:val="17"/>
                <w:color w:val="auto"/>
              </w:rPr>
            </w:pPr>
          </w:p>
        </w:tc>
        <w:tc>
          <w:tcPr>
            <w:tcW w:w="4220" w:type="dxa"/>
            <w:vAlign w:val="bottom"/>
            <w:tcBorders>
              <w:bottom w:val="single" w:sz="8" w:color="949599"/>
            </w:tcBorders>
          </w:tcPr>
          <w:p>
            <w:pPr>
              <w:ind w:left="80"/>
              <w:spacing w:after="0"/>
              <w:rPr>
                <w:sz w:val="20"/>
                <w:szCs w:val="20"/>
                <w:color w:val="auto"/>
              </w:rPr>
            </w:pPr>
            <w:r>
              <w:rPr>
                <w:rFonts w:ascii="Arial" w:cs="Arial" w:eastAsia="Arial" w:hAnsi="Arial"/>
                <w:sz w:val="14"/>
                <w:szCs w:val="14"/>
                <w:b w:val="1"/>
                <w:bCs w:val="1"/>
                <w:color w:val="009A4B"/>
              </w:rPr>
              <w:t>M. Scott Crocco</w:t>
            </w:r>
          </w:p>
        </w:tc>
        <w:tc>
          <w:tcPr>
            <w:tcW w:w="3340" w:type="dxa"/>
            <w:vAlign w:val="bottom"/>
            <w:tcBorders>
              <w:bottom w:val="single" w:sz="8" w:color="949599"/>
            </w:tcBorders>
          </w:tcPr>
          <w:p>
            <w:pPr>
              <w:spacing w:after="0"/>
              <w:rPr>
                <w:sz w:val="17"/>
                <w:szCs w:val="17"/>
                <w:color w:val="auto"/>
              </w:rPr>
            </w:pPr>
          </w:p>
        </w:tc>
        <w:tc>
          <w:tcPr>
            <w:tcW w:w="2100" w:type="dxa"/>
            <w:vAlign w:val="bottom"/>
            <w:tcBorders>
              <w:bottom w:val="single" w:sz="8" w:color="949599"/>
            </w:tcBorders>
          </w:tcPr>
          <w:p>
            <w:pPr>
              <w:spacing w:after="0"/>
              <w:rPr>
                <w:sz w:val="17"/>
                <w:szCs w:val="17"/>
                <w:color w:val="auto"/>
              </w:rPr>
            </w:pPr>
          </w:p>
        </w:tc>
        <w:tc>
          <w:tcPr>
            <w:tcW w:w="1120" w:type="dxa"/>
            <w:vAlign w:val="bottom"/>
            <w:tcBorders>
              <w:bottom w:val="single" w:sz="8" w:color="949599"/>
            </w:tcBorders>
          </w:tcPr>
          <w:p>
            <w:pPr>
              <w:jc w:val="right"/>
              <w:ind w:right="31"/>
              <w:spacing w:after="0"/>
              <w:rPr>
                <w:sz w:val="20"/>
                <w:szCs w:val="20"/>
                <w:color w:val="auto"/>
              </w:rPr>
            </w:pPr>
            <w:r>
              <w:rPr>
                <w:rFonts w:ascii="Arial" w:cs="Arial" w:eastAsia="Arial" w:hAnsi="Arial"/>
                <w:sz w:val="14"/>
                <w:szCs w:val="14"/>
                <w:color w:val="auto"/>
              </w:rPr>
              <w:t>252,035</w:t>
            </w:r>
          </w:p>
        </w:tc>
        <w:tc>
          <w:tcPr>
            <w:tcW w:w="140" w:type="dxa"/>
            <w:vAlign w:val="bottom"/>
          </w:tcPr>
          <w:p>
            <w:pPr>
              <w:spacing w:after="0"/>
              <w:rPr>
                <w:sz w:val="17"/>
                <w:szCs w:val="17"/>
                <w:color w:val="auto"/>
              </w:rPr>
            </w:pPr>
          </w:p>
        </w:tc>
      </w:tr>
      <w:tr>
        <w:trPr>
          <w:trHeight w:val="206"/>
        </w:trPr>
        <w:tc>
          <w:tcPr>
            <w:tcW w:w="320" w:type="dxa"/>
            <w:vAlign w:val="bottom"/>
          </w:tcPr>
          <w:p>
            <w:pPr>
              <w:spacing w:after="0"/>
              <w:rPr>
                <w:sz w:val="17"/>
                <w:szCs w:val="17"/>
                <w:color w:val="auto"/>
              </w:rPr>
            </w:pPr>
          </w:p>
        </w:tc>
        <w:tc>
          <w:tcPr>
            <w:tcW w:w="4220" w:type="dxa"/>
            <w:vAlign w:val="bottom"/>
            <w:tcBorders>
              <w:bottom w:val="single" w:sz="8" w:color="949599"/>
            </w:tcBorders>
          </w:tcPr>
          <w:p>
            <w:pPr>
              <w:ind w:left="80"/>
              <w:spacing w:after="0"/>
              <w:rPr>
                <w:sz w:val="20"/>
                <w:szCs w:val="20"/>
                <w:color w:val="auto"/>
              </w:rPr>
            </w:pPr>
            <w:r>
              <w:rPr>
                <w:rFonts w:ascii="Arial" w:cs="Arial" w:eastAsia="Arial" w:hAnsi="Arial"/>
                <w:sz w:val="14"/>
                <w:szCs w:val="14"/>
                <w:b w:val="1"/>
                <w:bCs w:val="1"/>
                <w:color w:val="009A4B"/>
              </w:rPr>
              <w:t>Sean D. Major</w:t>
            </w:r>
          </w:p>
        </w:tc>
        <w:tc>
          <w:tcPr>
            <w:tcW w:w="3340" w:type="dxa"/>
            <w:vAlign w:val="bottom"/>
            <w:tcBorders>
              <w:bottom w:val="single" w:sz="8" w:color="949599"/>
            </w:tcBorders>
          </w:tcPr>
          <w:p>
            <w:pPr>
              <w:spacing w:after="0"/>
              <w:rPr>
                <w:sz w:val="17"/>
                <w:szCs w:val="17"/>
                <w:color w:val="auto"/>
              </w:rPr>
            </w:pPr>
          </w:p>
        </w:tc>
        <w:tc>
          <w:tcPr>
            <w:tcW w:w="2100" w:type="dxa"/>
            <w:vAlign w:val="bottom"/>
            <w:tcBorders>
              <w:bottom w:val="single" w:sz="8" w:color="949599"/>
            </w:tcBorders>
          </w:tcPr>
          <w:p>
            <w:pPr>
              <w:spacing w:after="0"/>
              <w:rPr>
                <w:sz w:val="17"/>
                <w:szCs w:val="17"/>
                <w:color w:val="auto"/>
              </w:rPr>
            </w:pPr>
          </w:p>
        </w:tc>
        <w:tc>
          <w:tcPr>
            <w:tcW w:w="1120" w:type="dxa"/>
            <w:vAlign w:val="bottom"/>
            <w:tcBorders>
              <w:bottom w:val="single" w:sz="8" w:color="949599"/>
            </w:tcBorders>
          </w:tcPr>
          <w:p>
            <w:pPr>
              <w:jc w:val="right"/>
              <w:ind w:right="31"/>
              <w:spacing w:after="0"/>
              <w:rPr>
                <w:sz w:val="20"/>
                <w:szCs w:val="20"/>
                <w:color w:val="auto"/>
              </w:rPr>
            </w:pPr>
            <w:r>
              <w:rPr>
                <w:rFonts w:ascii="Arial" w:cs="Arial" w:eastAsia="Arial" w:hAnsi="Arial"/>
                <w:sz w:val="14"/>
                <w:szCs w:val="14"/>
                <w:color w:val="auto"/>
              </w:rPr>
              <w:t>103,786</w:t>
            </w:r>
          </w:p>
        </w:tc>
        <w:tc>
          <w:tcPr>
            <w:tcW w:w="140" w:type="dxa"/>
            <w:vAlign w:val="bottom"/>
          </w:tcPr>
          <w:p>
            <w:pPr>
              <w:spacing w:after="0"/>
              <w:rPr>
                <w:sz w:val="17"/>
                <w:szCs w:val="17"/>
                <w:color w:val="auto"/>
              </w:rPr>
            </w:pPr>
          </w:p>
        </w:tc>
      </w:tr>
      <w:tr>
        <w:trPr>
          <w:trHeight w:val="219"/>
        </w:trPr>
        <w:tc>
          <w:tcPr>
            <w:tcW w:w="320" w:type="dxa"/>
            <w:vAlign w:val="bottom"/>
          </w:tcPr>
          <w:p>
            <w:pPr>
              <w:spacing w:after="0"/>
              <w:rPr>
                <w:sz w:val="19"/>
                <w:szCs w:val="19"/>
                <w:color w:val="auto"/>
              </w:rPr>
            </w:pPr>
          </w:p>
        </w:tc>
        <w:tc>
          <w:tcPr>
            <w:tcW w:w="42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9A4B"/>
              </w:rPr>
              <w:t>Samir J. Serhan</w:t>
            </w:r>
          </w:p>
        </w:tc>
        <w:tc>
          <w:tcPr>
            <w:tcW w:w="33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184,856</w:t>
            </w:r>
          </w:p>
        </w:tc>
        <w:tc>
          <w:tcPr>
            <w:tcW w:w="140" w:type="dxa"/>
            <w:vAlign w:val="bottom"/>
          </w:tcPr>
          <w:p>
            <w:pPr>
              <w:spacing w:after="0"/>
              <w:rPr>
                <w:sz w:val="19"/>
                <w:szCs w:val="19"/>
                <w:color w:val="auto"/>
              </w:rPr>
            </w:pPr>
          </w:p>
        </w:tc>
      </w:tr>
      <w:tr>
        <w:trPr>
          <w:trHeight w:val="550"/>
        </w:trPr>
        <w:tc>
          <w:tcPr>
            <w:tcW w:w="4540" w:type="dxa"/>
            <w:vAlign w:val="bottom"/>
            <w:gridSpan w:val="2"/>
          </w:tcPr>
          <w:p>
            <w:pPr>
              <w:spacing w:after="0"/>
              <w:rPr>
                <w:sz w:val="20"/>
                <w:szCs w:val="20"/>
                <w:color w:val="auto"/>
              </w:rPr>
            </w:pPr>
            <w:r>
              <w:rPr>
                <w:rFonts w:ascii="Arial" w:cs="Arial" w:eastAsia="Arial" w:hAnsi="Arial"/>
                <w:sz w:val="28"/>
                <w:szCs w:val="28"/>
                <w:color w:val="009A4B"/>
              </w:rPr>
              <w:t>Fiscal 2021 Pension Benefits Table</w:t>
            </w:r>
          </w:p>
        </w:tc>
        <w:tc>
          <w:tcPr>
            <w:tcW w:w="3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82"/>
        </w:trPr>
        <w:tc>
          <w:tcPr>
            <w:tcW w:w="3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100" w:type="dxa"/>
            <w:vAlign w:val="bottom"/>
          </w:tcPr>
          <w:p>
            <w:pPr>
              <w:jc w:val="right"/>
              <w:ind w:right="29"/>
              <w:spacing w:after="0"/>
              <w:rPr>
                <w:sz w:val="20"/>
                <w:szCs w:val="20"/>
                <w:color w:val="auto"/>
              </w:rPr>
            </w:pPr>
            <w:r>
              <w:rPr>
                <w:rFonts w:ascii="Arial" w:cs="Arial" w:eastAsia="Arial" w:hAnsi="Arial"/>
                <w:sz w:val="14"/>
                <w:szCs w:val="14"/>
                <w:b w:val="1"/>
                <w:bCs w:val="1"/>
                <w:color w:val="auto"/>
              </w:rPr>
              <w:t>Number of</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Present Value</w:t>
            </w:r>
          </w:p>
        </w:tc>
      </w:tr>
      <w:tr>
        <w:trPr>
          <w:trHeight w:val="160"/>
        </w:trPr>
        <w:tc>
          <w:tcPr>
            <w:tcW w:w="3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100" w:type="dxa"/>
            <w:vAlign w:val="bottom"/>
          </w:tcPr>
          <w:p>
            <w:pPr>
              <w:jc w:val="right"/>
              <w:ind w:right="29"/>
              <w:spacing w:after="0" w:line="160" w:lineRule="exact"/>
              <w:rPr>
                <w:sz w:val="20"/>
                <w:szCs w:val="20"/>
                <w:color w:val="auto"/>
              </w:rPr>
            </w:pPr>
            <w:r>
              <w:rPr>
                <w:rFonts w:ascii="Arial" w:cs="Arial" w:eastAsia="Arial" w:hAnsi="Arial"/>
                <w:sz w:val="14"/>
                <w:szCs w:val="14"/>
                <w:b w:val="1"/>
                <w:bCs w:val="1"/>
                <w:color w:val="auto"/>
              </w:rPr>
              <w:t>Years Credited</w:t>
            </w:r>
          </w:p>
        </w:tc>
        <w:tc>
          <w:tcPr>
            <w:tcW w:w="1260" w:type="dxa"/>
            <w:vAlign w:val="bottom"/>
            <w:gridSpan w:val="2"/>
          </w:tcPr>
          <w:p>
            <w:pPr>
              <w:jc w:val="right"/>
              <w:ind w:right="100"/>
              <w:spacing w:after="0" w:line="160" w:lineRule="exact"/>
              <w:rPr>
                <w:sz w:val="20"/>
                <w:szCs w:val="20"/>
                <w:color w:val="auto"/>
              </w:rPr>
            </w:pPr>
            <w:r>
              <w:rPr>
                <w:rFonts w:ascii="Arial" w:cs="Arial" w:eastAsia="Arial" w:hAnsi="Arial"/>
                <w:sz w:val="14"/>
                <w:szCs w:val="14"/>
                <w:b w:val="1"/>
                <w:bCs w:val="1"/>
                <w:color w:val="auto"/>
              </w:rPr>
              <w:t>of Accumulated</w:t>
            </w:r>
          </w:p>
        </w:tc>
      </w:tr>
      <w:tr>
        <w:trPr>
          <w:trHeight w:val="160"/>
        </w:trPr>
        <w:tc>
          <w:tcPr>
            <w:tcW w:w="3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100" w:type="dxa"/>
            <w:vAlign w:val="bottom"/>
          </w:tcPr>
          <w:p>
            <w:pPr>
              <w:jc w:val="right"/>
              <w:ind w:right="29"/>
              <w:spacing w:after="0" w:line="160" w:lineRule="exact"/>
              <w:rPr>
                <w:sz w:val="20"/>
                <w:szCs w:val="20"/>
                <w:color w:val="auto"/>
              </w:rPr>
            </w:pPr>
            <w:r>
              <w:rPr>
                <w:rFonts w:ascii="Arial" w:cs="Arial" w:eastAsia="Arial" w:hAnsi="Arial"/>
                <w:sz w:val="14"/>
                <w:szCs w:val="14"/>
                <w:b w:val="1"/>
                <w:bCs w:val="1"/>
                <w:color w:val="auto"/>
              </w:rPr>
              <w:t>Service</w:t>
            </w:r>
          </w:p>
        </w:tc>
        <w:tc>
          <w:tcPr>
            <w:tcW w:w="1260" w:type="dxa"/>
            <w:vAlign w:val="bottom"/>
            <w:gridSpan w:val="2"/>
          </w:tcPr>
          <w:p>
            <w:pPr>
              <w:jc w:val="right"/>
              <w:ind w:right="100"/>
              <w:spacing w:after="0" w:line="160" w:lineRule="exact"/>
              <w:rPr>
                <w:sz w:val="20"/>
                <w:szCs w:val="20"/>
                <w:color w:val="auto"/>
              </w:rPr>
            </w:pPr>
            <w:r>
              <w:rPr>
                <w:rFonts w:ascii="Arial" w:cs="Arial" w:eastAsia="Arial" w:hAnsi="Arial"/>
                <w:sz w:val="14"/>
                <w:szCs w:val="14"/>
                <w:b w:val="1"/>
                <w:bCs w:val="1"/>
                <w:color w:val="auto"/>
              </w:rPr>
              <w:t>Benefit</w:t>
            </w:r>
          </w:p>
        </w:tc>
      </w:tr>
      <w:tr>
        <w:trPr>
          <w:trHeight w:val="206"/>
        </w:trPr>
        <w:tc>
          <w:tcPr>
            <w:tcW w:w="4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Officer</w:t>
            </w:r>
          </w:p>
        </w:tc>
        <w:tc>
          <w:tcPr>
            <w:tcW w:w="3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Plan Name</w:t>
            </w:r>
          </w:p>
        </w:tc>
        <w:tc>
          <w:tcPr>
            <w:tcW w:w="21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w:t>
            </w:r>
          </w:p>
        </w:tc>
      </w:tr>
      <w:tr>
        <w:trPr>
          <w:trHeight w:val="202"/>
        </w:trPr>
        <w:tc>
          <w:tcPr>
            <w:tcW w:w="4540" w:type="dxa"/>
            <w:vAlign w:val="bottom"/>
            <w:gridSpan w:val="2"/>
          </w:tcPr>
          <w:p>
            <w:pPr>
              <w:spacing w:after="0"/>
              <w:rPr>
                <w:sz w:val="20"/>
                <w:szCs w:val="20"/>
                <w:color w:val="auto"/>
              </w:rPr>
            </w:pPr>
            <w:r>
              <w:rPr>
                <w:rFonts w:ascii="Arial" w:cs="Arial" w:eastAsia="Arial" w:hAnsi="Arial"/>
                <w:sz w:val="14"/>
                <w:szCs w:val="14"/>
                <w:b w:val="1"/>
                <w:bCs w:val="1"/>
                <w:color w:val="009A4B"/>
              </w:rPr>
              <w:t>M. Scott Crocco</w:t>
            </w:r>
          </w:p>
        </w:tc>
        <w:tc>
          <w:tcPr>
            <w:tcW w:w="3340" w:type="dxa"/>
            <w:vAlign w:val="bottom"/>
          </w:tcPr>
          <w:p>
            <w:pPr>
              <w:spacing w:after="0"/>
              <w:rPr>
                <w:sz w:val="20"/>
                <w:szCs w:val="20"/>
                <w:color w:val="auto"/>
              </w:rPr>
            </w:pPr>
            <w:r>
              <w:rPr>
                <w:rFonts w:ascii="Arial" w:cs="Arial" w:eastAsia="Arial" w:hAnsi="Arial"/>
                <w:sz w:val="14"/>
                <w:szCs w:val="14"/>
                <w:color w:val="auto"/>
              </w:rPr>
              <w:t>Air Products and Chemicals, Inc.</w:t>
            </w:r>
          </w:p>
        </w:tc>
        <w:tc>
          <w:tcPr>
            <w:tcW w:w="2100" w:type="dxa"/>
            <w:vAlign w:val="bottom"/>
          </w:tcPr>
          <w:p>
            <w:pPr>
              <w:jc w:val="right"/>
              <w:ind w:right="29"/>
              <w:spacing w:after="0"/>
              <w:rPr>
                <w:sz w:val="20"/>
                <w:szCs w:val="20"/>
                <w:color w:val="auto"/>
              </w:rPr>
            </w:pPr>
            <w:r>
              <w:rPr>
                <w:rFonts w:ascii="Arial" w:cs="Arial" w:eastAsia="Arial" w:hAnsi="Arial"/>
                <w:sz w:val="14"/>
                <w:szCs w:val="14"/>
                <w:color w:val="auto"/>
              </w:rPr>
              <w:t>31</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2,216,772</w:t>
            </w:r>
          </w:p>
        </w:tc>
      </w:tr>
      <w:tr>
        <w:trPr>
          <w:trHeight w:val="171"/>
        </w:trPr>
        <w:tc>
          <w:tcPr>
            <w:tcW w:w="3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340" w:type="dxa"/>
            <w:vAlign w:val="bottom"/>
            <w:tcBorders>
              <w:bottom w:val="single" w:sz="8" w:color="949599"/>
            </w:tcBorders>
          </w:tcPr>
          <w:p>
            <w:pPr>
              <w:spacing w:after="0"/>
              <w:rPr>
                <w:sz w:val="20"/>
                <w:szCs w:val="20"/>
                <w:color w:val="auto"/>
              </w:rPr>
            </w:pPr>
            <w:r>
              <w:rPr>
                <w:rFonts w:ascii="Arial" w:cs="Arial" w:eastAsia="Arial" w:hAnsi="Arial"/>
                <w:sz w:val="14"/>
                <w:szCs w:val="14"/>
                <w:color w:val="auto"/>
              </w:rPr>
              <w:t>Pension Plan for Salaried Employees</w:t>
            </w:r>
          </w:p>
        </w:tc>
        <w:tc>
          <w:tcPr>
            <w:tcW w:w="2100" w:type="dxa"/>
            <w:vAlign w:val="bottom"/>
            <w:tcBorders>
              <w:bottom w:val="single" w:sz="8" w:color="949599"/>
            </w:tcBorders>
          </w:tcPr>
          <w:p>
            <w:pPr>
              <w:spacing w:after="0"/>
              <w:rPr>
                <w:sz w:val="14"/>
                <w:szCs w:val="14"/>
                <w:color w:val="auto"/>
              </w:rPr>
            </w:pPr>
          </w:p>
        </w:tc>
        <w:tc>
          <w:tcPr>
            <w:tcW w:w="1120" w:type="dxa"/>
            <w:vAlign w:val="bottom"/>
            <w:tcBorders>
              <w:bottom w:val="single" w:sz="8" w:color="949599"/>
            </w:tcBorders>
          </w:tcPr>
          <w:p>
            <w:pPr>
              <w:spacing w:after="0"/>
              <w:rPr>
                <w:sz w:val="14"/>
                <w:szCs w:val="14"/>
                <w:color w:val="auto"/>
              </w:rPr>
            </w:pPr>
          </w:p>
        </w:tc>
        <w:tc>
          <w:tcPr>
            <w:tcW w:w="140" w:type="dxa"/>
            <w:vAlign w:val="bottom"/>
            <w:tcBorders>
              <w:bottom w:val="single" w:sz="8" w:color="949599"/>
            </w:tcBorders>
          </w:tcPr>
          <w:p>
            <w:pPr>
              <w:spacing w:after="0"/>
              <w:rPr>
                <w:sz w:val="14"/>
                <w:szCs w:val="14"/>
                <w:color w:val="auto"/>
              </w:rPr>
            </w:pPr>
          </w:p>
        </w:tc>
      </w:tr>
      <w:tr>
        <w:trPr>
          <w:trHeight w:val="158"/>
        </w:trPr>
        <w:tc>
          <w:tcPr>
            <w:tcW w:w="3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3340" w:type="dxa"/>
            <w:vAlign w:val="bottom"/>
          </w:tcPr>
          <w:p>
            <w:pPr>
              <w:spacing w:after="0" w:line="158" w:lineRule="exact"/>
              <w:rPr>
                <w:sz w:val="20"/>
                <w:szCs w:val="20"/>
                <w:color w:val="auto"/>
              </w:rPr>
            </w:pPr>
            <w:r>
              <w:rPr>
                <w:rFonts w:ascii="Arial" w:cs="Arial" w:eastAsia="Arial" w:hAnsi="Arial"/>
                <w:sz w:val="14"/>
                <w:szCs w:val="14"/>
                <w:color w:val="auto"/>
              </w:rPr>
              <w:t>Air Products and Chemicals, Inc.</w:t>
            </w:r>
          </w:p>
        </w:tc>
        <w:tc>
          <w:tcPr>
            <w:tcW w:w="2100" w:type="dxa"/>
            <w:vAlign w:val="bottom"/>
          </w:tcPr>
          <w:p>
            <w:pPr>
              <w:jc w:val="right"/>
              <w:ind w:right="29"/>
              <w:spacing w:after="0" w:line="158" w:lineRule="exact"/>
              <w:rPr>
                <w:sz w:val="20"/>
                <w:szCs w:val="20"/>
                <w:color w:val="auto"/>
              </w:rPr>
            </w:pPr>
            <w:r>
              <w:rPr>
                <w:rFonts w:ascii="Arial" w:cs="Arial" w:eastAsia="Arial" w:hAnsi="Arial"/>
                <w:sz w:val="14"/>
                <w:szCs w:val="14"/>
                <w:color w:val="auto"/>
              </w:rPr>
              <w:t>31</w:t>
            </w:r>
          </w:p>
        </w:tc>
        <w:tc>
          <w:tcPr>
            <w:tcW w:w="126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10,484,832</w:t>
            </w:r>
          </w:p>
        </w:tc>
      </w:tr>
      <w:tr>
        <w:trPr>
          <w:trHeight w:val="162"/>
        </w:trPr>
        <w:tc>
          <w:tcPr>
            <w:tcW w:w="32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Supplementary Pension Plan</w:t>
            </w:r>
          </w:p>
        </w:tc>
        <w:tc>
          <w:tcPr>
            <w:tcW w:w="2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-1056005</wp:posOffset>
            </wp:positionV>
            <wp:extent cx="7134225" cy="17145"/>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142"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 xml:space="preserve">The table above illustrates the actuarial present value of accrued pension benefits for Mr. Crocco, who was the only executive officer who participated in the Company’s defined benefit plans as of September 30, 2021 (which was the effective date of Mr. Crocco’s retirement). Actuarial present values are complex calculations that rely on many assumptions. The Company has calculated the amounts shown above generally using the same assumptions used in determining the pension cost recognized in its financial statements, which are described in Note 15, </w:t>
      </w:r>
      <w:r>
        <w:rPr>
          <w:rFonts w:ascii="Arial" w:cs="Arial" w:eastAsia="Arial" w:hAnsi="Arial"/>
          <w:sz w:val="16"/>
          <w:szCs w:val="16"/>
          <w:i w:val="1"/>
          <w:iCs w:val="1"/>
          <w:color w:val="auto"/>
        </w:rPr>
        <w:t>Retirement Benefits</w:t>
      </w:r>
      <w:r>
        <w:rPr>
          <w:rFonts w:ascii="Arial" w:cs="Arial" w:eastAsia="Arial" w:hAnsi="Arial"/>
          <w:sz w:val="16"/>
          <w:szCs w:val="16"/>
          <w:color w:val="auto"/>
        </w:rPr>
        <w:t>, to the financial statements and under “Critical Accounting Policies and Estimates” in Management’s Discussion and Analysis of Financial Condition and Results of Operations, both of which are included in the Company’s Annual Report on Form 10-K for the fiscal year ended September 30, 2021, which was filed with the SEC on November 18, 2021. However, in accordance with SEC requirements, the Company has calculated these values assuming payment begins on the earliest date that the executive officer can receive an unreduced early retirement benefit. The Company also has used actual fiscal 2021 annual incentive awards in the calculation, whereas the value in the financial statements is based on estimated annual incentive awards.</w:t>
      </w:r>
    </w:p>
    <w:p>
      <w:pPr>
        <w:spacing w:after="0" w:line="154" w:lineRule="exact"/>
        <w:rPr>
          <w:sz w:val="20"/>
          <w:szCs w:val="20"/>
          <w:color w:val="auto"/>
        </w:rPr>
      </w:pPr>
    </w:p>
    <w:p>
      <w:pPr>
        <w:ind w:right="220"/>
        <w:spacing w:after="0" w:line="248" w:lineRule="auto"/>
        <w:rPr>
          <w:sz w:val="20"/>
          <w:szCs w:val="20"/>
          <w:color w:val="auto"/>
        </w:rPr>
      </w:pPr>
      <w:r>
        <w:rPr>
          <w:rFonts w:ascii="Arial" w:cs="Arial" w:eastAsia="Arial" w:hAnsi="Arial"/>
          <w:sz w:val="16"/>
          <w:szCs w:val="16"/>
          <w:color w:val="auto"/>
        </w:rPr>
        <w:t>The Salaried Pension Plan is a funded, tax-qualified defined benefit plan funded entirely by the Company. Benefits under the Salaried Pension Plan are paid after retirement in the form of a monthly annuity or as a lump sum if the value of the benefit is less than $100,000. Participants may select from monthly payments for their lifetime or smaller monthly payments for their life and the life of a beneficiary.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amount of the benefit under the Salaried Pension Plan is based on the sum of the following:</w:t>
      </w:r>
    </w:p>
    <w:p>
      <w:pPr>
        <w:spacing w:after="0" w:line="162" w:lineRule="exact"/>
        <w:rPr>
          <w:sz w:val="20"/>
          <w:szCs w:val="20"/>
          <w:color w:val="auto"/>
        </w:rPr>
      </w:pPr>
    </w:p>
    <w:p>
      <w:pPr>
        <w:ind w:left="440" w:hanging="247"/>
        <w:spacing w:after="0"/>
        <w:tabs>
          <w:tab w:leader="none" w:pos="440" w:val="left"/>
        </w:tabs>
        <w:numPr>
          <w:ilvl w:val="0"/>
          <w:numId w:val="61"/>
        </w:numPr>
        <w:rPr>
          <w:rFonts w:ascii="Arial" w:cs="Arial" w:eastAsia="Arial" w:hAnsi="Arial"/>
          <w:sz w:val="16"/>
          <w:szCs w:val="16"/>
          <w:color w:val="009A4B"/>
        </w:rPr>
      </w:pPr>
      <w:r>
        <w:rPr>
          <w:rFonts w:ascii="Arial" w:cs="Arial" w:eastAsia="Arial" w:hAnsi="Arial"/>
          <w:sz w:val="16"/>
          <w:szCs w:val="16"/>
          <w:color w:val="auto"/>
        </w:rPr>
        <w:t>1.184% x years of service x average monthly compensation (up to the average Social Security Maximum Taxable Wage Base); and</w:t>
      </w:r>
    </w:p>
    <w:p>
      <w:pPr>
        <w:spacing w:after="0" w:line="162" w:lineRule="exact"/>
        <w:rPr>
          <w:rFonts w:ascii="Arial" w:cs="Arial" w:eastAsia="Arial" w:hAnsi="Arial"/>
          <w:sz w:val="16"/>
          <w:szCs w:val="16"/>
          <w:color w:val="009A4B"/>
        </w:rPr>
      </w:pPr>
    </w:p>
    <w:p>
      <w:pPr>
        <w:ind w:left="440" w:hanging="247"/>
        <w:spacing w:after="0"/>
        <w:tabs>
          <w:tab w:leader="none" w:pos="440" w:val="left"/>
        </w:tabs>
        <w:numPr>
          <w:ilvl w:val="0"/>
          <w:numId w:val="61"/>
        </w:numPr>
        <w:rPr>
          <w:rFonts w:ascii="Arial" w:cs="Arial" w:eastAsia="Arial" w:hAnsi="Arial"/>
          <w:sz w:val="16"/>
          <w:szCs w:val="16"/>
          <w:color w:val="009A4B"/>
        </w:rPr>
      </w:pPr>
      <w:r>
        <w:rPr>
          <w:rFonts w:ascii="Arial" w:cs="Arial" w:eastAsia="Arial" w:hAnsi="Arial"/>
          <w:sz w:val="16"/>
          <w:szCs w:val="16"/>
          <w:color w:val="auto"/>
        </w:rPr>
        <w:t>1.5% x years of service x average monthly compensation (in excess of the average Social Security Maximum Taxable Wage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101600</wp:posOffset>
            </wp:positionV>
            <wp:extent cx="845185" cy="202565"/>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845185" cy="20256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7155180" cy="20955"/>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“Average Monthly Compensation” is the average monthly compensation for the 36 months (or three years) during which the participant’s compensation was the highest during the 10 years preceding retirement; generally, this is the participant’s average base salary for the three years preceding retirement. The average Social Security Maximum Taxable Wage Base is the average of the U.S. Social Security Wage Bases over a 35-year period.</w:t>
      </w:r>
    </w:p>
    <w:p>
      <w:pPr>
        <w:spacing w:after="0" w:line="148"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Benefits under the Salaried Pension Plan become vested after a participant has completed five years of service. The normal retirement age under the Salaried Pension Plan is 65. A participant with at least five years of service may retire after attaining age 55 and receive a benefit reduced by 3% per year for the number of years prior to attaining age 62. Benefits accrued as of January 1, 2005 are not reduced upon retirement at age 55 or later if the sum of the participants age and credited service under the Plan equals 80 or more at the time of retirement.</w:t>
      </w:r>
    </w:p>
    <w:p>
      <w:pPr>
        <w:spacing w:after="0" w:line="151"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color w:val="auto"/>
        </w:rPr>
        <w:t>Under U.S. federal tax laws, benefits payable under the Salaried Pension Plan and compensation that can be considered in calculating the benefits are limited. The Supplementary Pension Plan (“Supplementary Plan”) is a nonqualified, unfunded pension plan that provides benefits that cannot be provided under the Salaried Pension Plan due to these limits. Benefits under the Supplementary Plan are calculated using the same formula as the Salaried Pension Plan, but there is no limit on the amount of base salary that can be covered by the pension formula, and Average Monthly Compensation under the Supplementary Plan also includes Annual Incentive Plan awards.</w:t>
      </w:r>
    </w:p>
    <w:p>
      <w:pPr>
        <w:spacing w:after="0" w:line="152"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Supplementary Plan benefits are subject to the same vesting and early retirement terms as the Salaried Pension Plan. Supplementary Plan benefits are generally payable following retirement in one of the annuity forms available under the Salaried Pension Plan or, at the election of the participant, in a lump sum. In the case of the executive officers and certain other executives, distribution of benefits under the Supplementary Plan, whether in annuity or lump sum form, is delayed for six months after termination of employment to comply with U.S. federal tax laws.</w:t>
      </w:r>
    </w:p>
    <w:p>
      <w:pPr>
        <w:spacing w:after="0" w:line="198" w:lineRule="exact"/>
        <w:rPr>
          <w:sz w:val="20"/>
          <w:szCs w:val="20"/>
          <w:color w:val="auto"/>
        </w:rPr>
      </w:pPr>
    </w:p>
    <w:p>
      <w:pPr>
        <w:spacing w:after="0"/>
        <w:rPr>
          <w:sz w:val="20"/>
          <w:szCs w:val="20"/>
          <w:color w:val="auto"/>
        </w:rPr>
      </w:pPr>
      <w:r>
        <w:rPr>
          <w:rFonts w:ascii="Arial" w:cs="Arial" w:eastAsia="Arial" w:hAnsi="Arial"/>
          <w:sz w:val="28"/>
          <w:szCs w:val="28"/>
          <w:color w:val="009A4B"/>
        </w:rPr>
        <w:t>Fiscal 2021 Nonqualified Deferred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225" cy="17145"/>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Amounts shown in this table are provided under the Company’s nonqualified Deferred Compensation Plan.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3220" w:type="dxa"/>
            <w:vAlign w:val="bottom"/>
          </w:tcPr>
          <w:p>
            <w:pPr>
              <w:jc w:val="right"/>
              <w:ind w:right="30"/>
              <w:spacing w:after="0"/>
              <w:rPr>
                <w:sz w:val="20"/>
                <w:szCs w:val="20"/>
                <w:color w:val="auto"/>
              </w:rPr>
            </w:pPr>
            <w:r>
              <w:rPr>
                <w:rFonts w:ascii="Arial" w:cs="Arial" w:eastAsia="Arial" w:hAnsi="Arial"/>
                <w:sz w:val="14"/>
                <w:szCs w:val="14"/>
                <w:b w:val="1"/>
                <w:bCs w:val="1"/>
                <w:color w:val="auto"/>
              </w:rPr>
              <w:t>Executive</w:t>
            </w:r>
          </w:p>
        </w:tc>
        <w:tc>
          <w:tcPr>
            <w:tcW w:w="1140" w:type="dxa"/>
            <w:vAlign w:val="bottom"/>
          </w:tcPr>
          <w:p>
            <w:pPr>
              <w:jc w:val="right"/>
              <w:ind w:right="50"/>
              <w:spacing w:after="0"/>
              <w:rPr>
                <w:sz w:val="20"/>
                <w:szCs w:val="20"/>
                <w:color w:val="auto"/>
              </w:rPr>
            </w:pPr>
            <w:r>
              <w:rPr>
                <w:rFonts w:ascii="Arial" w:cs="Arial" w:eastAsia="Arial" w:hAnsi="Arial"/>
                <w:sz w:val="14"/>
                <w:szCs w:val="14"/>
                <w:b w:val="1"/>
                <w:bCs w:val="1"/>
                <w:color w:val="auto"/>
              </w:rPr>
              <w:t>Registrant</w:t>
            </w:r>
          </w:p>
        </w:tc>
        <w:tc>
          <w:tcPr>
            <w:tcW w:w="1060" w:type="dxa"/>
            <w:vAlign w:val="bottom"/>
          </w:tcPr>
          <w:p>
            <w:pPr>
              <w:jc w:val="right"/>
              <w:ind w:right="30"/>
              <w:spacing w:after="0"/>
              <w:rPr>
                <w:sz w:val="20"/>
                <w:szCs w:val="20"/>
                <w:color w:val="auto"/>
              </w:rPr>
            </w:pPr>
            <w:r>
              <w:rPr>
                <w:rFonts w:ascii="Arial" w:cs="Arial" w:eastAsia="Arial" w:hAnsi="Arial"/>
                <w:sz w:val="14"/>
                <w:szCs w:val="14"/>
                <w:b w:val="1"/>
                <w:bCs w:val="1"/>
                <w:color w:val="auto"/>
              </w:rPr>
              <w:t>Aggregate</w:t>
            </w:r>
          </w:p>
        </w:tc>
        <w:tc>
          <w:tcPr>
            <w:tcW w:w="1080" w:type="dxa"/>
            <w:vAlign w:val="bottom"/>
          </w:tcPr>
          <w:p>
            <w:pPr>
              <w:jc w:val="right"/>
              <w:ind w:right="29"/>
              <w:spacing w:after="0"/>
              <w:rPr>
                <w:sz w:val="20"/>
                <w:szCs w:val="20"/>
                <w:color w:val="auto"/>
              </w:rPr>
            </w:pPr>
            <w:r>
              <w:rPr>
                <w:rFonts w:ascii="Arial" w:cs="Arial" w:eastAsia="Arial" w:hAnsi="Arial"/>
                <w:sz w:val="14"/>
                <w:szCs w:val="14"/>
                <w:b w:val="1"/>
                <w:bCs w:val="1"/>
                <w:color w:val="auto"/>
              </w:rPr>
              <w:t>Aggregate</w:t>
            </w:r>
          </w:p>
        </w:tc>
        <w:tc>
          <w:tcPr>
            <w:tcW w:w="1100" w:type="dxa"/>
            <w:vAlign w:val="bottom"/>
          </w:tcPr>
          <w:p>
            <w:pPr>
              <w:jc w:val="right"/>
              <w:ind w:right="30"/>
              <w:spacing w:after="0"/>
              <w:rPr>
                <w:sz w:val="20"/>
                <w:szCs w:val="20"/>
                <w:color w:val="auto"/>
              </w:rPr>
            </w:pPr>
            <w:r>
              <w:rPr>
                <w:rFonts w:ascii="Arial" w:cs="Arial" w:eastAsia="Arial" w:hAnsi="Arial"/>
                <w:sz w:val="14"/>
                <w:szCs w:val="14"/>
                <w:b w:val="1"/>
                <w:bCs w:val="1"/>
                <w:color w:val="auto"/>
              </w:rPr>
              <w:t>Aggregate</w:t>
            </w:r>
          </w:p>
        </w:tc>
      </w:tr>
      <w:tr>
        <w:trPr>
          <w:trHeight w:val="160"/>
        </w:trPr>
        <w:tc>
          <w:tcPr>
            <w:tcW w:w="3640" w:type="dxa"/>
            <w:vAlign w:val="bottom"/>
          </w:tcPr>
          <w:p>
            <w:pPr>
              <w:spacing w:after="0"/>
              <w:rPr>
                <w:sz w:val="13"/>
                <w:szCs w:val="13"/>
                <w:color w:val="auto"/>
              </w:rPr>
            </w:pPr>
          </w:p>
        </w:tc>
        <w:tc>
          <w:tcPr>
            <w:tcW w:w="3220" w:type="dxa"/>
            <w:vAlign w:val="bottom"/>
          </w:tcPr>
          <w:p>
            <w:pPr>
              <w:jc w:val="right"/>
              <w:ind w:right="30"/>
              <w:spacing w:after="0" w:line="160" w:lineRule="exact"/>
              <w:rPr>
                <w:sz w:val="20"/>
                <w:szCs w:val="20"/>
                <w:color w:val="auto"/>
              </w:rPr>
            </w:pPr>
            <w:r>
              <w:rPr>
                <w:rFonts w:ascii="Arial" w:cs="Arial" w:eastAsia="Arial" w:hAnsi="Arial"/>
                <w:sz w:val="14"/>
                <w:szCs w:val="14"/>
                <w:b w:val="1"/>
                <w:bCs w:val="1"/>
                <w:color w:val="auto"/>
              </w:rPr>
              <w:t>Contributions</w:t>
            </w:r>
          </w:p>
        </w:tc>
        <w:tc>
          <w:tcPr>
            <w:tcW w:w="1140" w:type="dxa"/>
            <w:vAlign w:val="bottom"/>
          </w:tcPr>
          <w:p>
            <w:pPr>
              <w:jc w:val="right"/>
              <w:ind w:right="50"/>
              <w:spacing w:after="0" w:line="160" w:lineRule="exact"/>
              <w:rPr>
                <w:sz w:val="20"/>
                <w:szCs w:val="20"/>
                <w:color w:val="auto"/>
              </w:rPr>
            </w:pPr>
            <w:r>
              <w:rPr>
                <w:rFonts w:ascii="Arial" w:cs="Arial" w:eastAsia="Arial" w:hAnsi="Arial"/>
                <w:sz w:val="14"/>
                <w:szCs w:val="14"/>
                <w:b w:val="1"/>
                <w:bCs w:val="1"/>
                <w:color w:val="auto"/>
              </w:rPr>
              <w:t>Contributions</w:t>
            </w:r>
          </w:p>
        </w:tc>
        <w:tc>
          <w:tcPr>
            <w:tcW w:w="1060" w:type="dxa"/>
            <w:vAlign w:val="bottom"/>
          </w:tcPr>
          <w:p>
            <w:pPr>
              <w:jc w:val="right"/>
              <w:ind w:right="30"/>
              <w:spacing w:after="0" w:line="160" w:lineRule="exact"/>
              <w:rPr>
                <w:sz w:val="20"/>
                <w:szCs w:val="20"/>
                <w:color w:val="auto"/>
              </w:rPr>
            </w:pPr>
            <w:r>
              <w:rPr>
                <w:rFonts w:ascii="Arial" w:cs="Arial" w:eastAsia="Arial" w:hAnsi="Arial"/>
                <w:sz w:val="14"/>
                <w:szCs w:val="14"/>
                <w:b w:val="1"/>
                <w:bCs w:val="1"/>
                <w:color w:val="auto"/>
              </w:rPr>
              <w:t>Earnings</w:t>
            </w:r>
          </w:p>
        </w:tc>
        <w:tc>
          <w:tcPr>
            <w:tcW w:w="1080" w:type="dxa"/>
            <w:vAlign w:val="bottom"/>
          </w:tcPr>
          <w:p>
            <w:pPr>
              <w:jc w:val="right"/>
              <w:ind w:right="29"/>
              <w:spacing w:after="0" w:line="160" w:lineRule="exact"/>
              <w:rPr>
                <w:sz w:val="20"/>
                <w:szCs w:val="20"/>
                <w:color w:val="auto"/>
              </w:rPr>
            </w:pPr>
            <w:r>
              <w:rPr>
                <w:rFonts w:ascii="Arial" w:cs="Arial" w:eastAsia="Arial" w:hAnsi="Arial"/>
                <w:sz w:val="14"/>
                <w:szCs w:val="14"/>
                <w:b w:val="1"/>
                <w:bCs w:val="1"/>
                <w:color w:val="auto"/>
              </w:rPr>
              <w:t>Withdrawals/</w:t>
            </w:r>
          </w:p>
        </w:tc>
        <w:tc>
          <w:tcPr>
            <w:tcW w:w="1100" w:type="dxa"/>
            <w:vAlign w:val="bottom"/>
          </w:tcPr>
          <w:p>
            <w:pPr>
              <w:jc w:val="right"/>
              <w:ind w:right="30"/>
              <w:spacing w:after="0" w:line="160" w:lineRule="exact"/>
              <w:rPr>
                <w:sz w:val="20"/>
                <w:szCs w:val="20"/>
                <w:color w:val="auto"/>
              </w:rPr>
            </w:pPr>
            <w:r>
              <w:rPr>
                <w:rFonts w:ascii="Arial" w:cs="Arial" w:eastAsia="Arial" w:hAnsi="Arial"/>
                <w:sz w:val="14"/>
                <w:szCs w:val="14"/>
                <w:b w:val="1"/>
                <w:bCs w:val="1"/>
                <w:color w:val="auto"/>
              </w:rPr>
              <w:t>Balance</w:t>
            </w:r>
          </w:p>
        </w:tc>
      </w:tr>
      <w:tr>
        <w:trPr>
          <w:trHeight w:val="173"/>
        </w:trPr>
        <w:tc>
          <w:tcPr>
            <w:tcW w:w="3640" w:type="dxa"/>
            <w:vAlign w:val="bottom"/>
          </w:tcPr>
          <w:p>
            <w:pPr>
              <w:spacing w:after="0"/>
              <w:rPr>
                <w:sz w:val="15"/>
                <w:szCs w:val="15"/>
                <w:color w:val="auto"/>
              </w:rPr>
            </w:pPr>
          </w:p>
        </w:tc>
        <w:tc>
          <w:tcPr>
            <w:tcW w:w="3220" w:type="dxa"/>
            <w:vAlign w:val="bottom"/>
          </w:tcPr>
          <w:p>
            <w:pPr>
              <w:jc w:val="right"/>
              <w:ind w:right="30"/>
              <w:spacing w:after="0" w:line="173" w:lineRule="exact"/>
              <w:rPr>
                <w:sz w:val="20"/>
                <w:szCs w:val="20"/>
                <w:color w:val="auto"/>
              </w:rPr>
            </w:pPr>
            <w:r>
              <w:rPr>
                <w:rFonts w:ascii="Arial" w:cs="Arial" w:eastAsia="Arial" w:hAnsi="Arial"/>
                <w:sz w:val="13"/>
                <w:szCs w:val="13"/>
                <w:b w:val="1"/>
                <w:bCs w:val="1"/>
                <w:color w:val="auto"/>
              </w:rPr>
              <w:t>in Last FY</w:t>
            </w:r>
            <w:r>
              <w:rPr>
                <w:rFonts w:ascii="Arial" w:cs="Arial" w:eastAsia="Arial" w:hAnsi="Arial"/>
                <w:sz w:val="20"/>
                <w:szCs w:val="20"/>
                <w:b w:val="1"/>
                <w:bCs w:val="1"/>
                <w:color w:val="auto"/>
                <w:vertAlign w:val="superscript"/>
              </w:rPr>
              <w:t>(1)</w:t>
            </w:r>
          </w:p>
        </w:tc>
        <w:tc>
          <w:tcPr>
            <w:tcW w:w="1140" w:type="dxa"/>
            <w:vAlign w:val="bottom"/>
          </w:tcPr>
          <w:p>
            <w:pPr>
              <w:jc w:val="right"/>
              <w:ind w:right="50"/>
              <w:spacing w:after="0" w:line="173" w:lineRule="exact"/>
              <w:rPr>
                <w:sz w:val="20"/>
                <w:szCs w:val="20"/>
                <w:color w:val="auto"/>
              </w:rPr>
            </w:pPr>
            <w:r>
              <w:rPr>
                <w:rFonts w:ascii="Arial" w:cs="Arial" w:eastAsia="Arial" w:hAnsi="Arial"/>
                <w:sz w:val="13"/>
                <w:szCs w:val="13"/>
                <w:b w:val="1"/>
                <w:bCs w:val="1"/>
                <w:color w:val="auto"/>
              </w:rPr>
              <w:t>in Last FY</w:t>
            </w:r>
            <w:r>
              <w:rPr>
                <w:rFonts w:ascii="Arial" w:cs="Arial" w:eastAsia="Arial" w:hAnsi="Arial"/>
                <w:sz w:val="20"/>
                <w:szCs w:val="20"/>
                <w:b w:val="1"/>
                <w:bCs w:val="1"/>
                <w:color w:val="auto"/>
                <w:vertAlign w:val="superscript"/>
              </w:rPr>
              <w:t>(2)</w:t>
            </w:r>
          </w:p>
        </w:tc>
        <w:tc>
          <w:tcPr>
            <w:tcW w:w="1060" w:type="dxa"/>
            <w:vAlign w:val="bottom"/>
          </w:tcPr>
          <w:p>
            <w:pPr>
              <w:jc w:val="right"/>
              <w:ind w:right="30"/>
              <w:spacing w:after="0" w:line="173" w:lineRule="exact"/>
              <w:rPr>
                <w:sz w:val="20"/>
                <w:szCs w:val="20"/>
                <w:color w:val="auto"/>
              </w:rPr>
            </w:pPr>
            <w:r>
              <w:rPr>
                <w:rFonts w:ascii="Arial" w:cs="Arial" w:eastAsia="Arial" w:hAnsi="Arial"/>
                <w:sz w:val="13"/>
                <w:szCs w:val="13"/>
                <w:b w:val="1"/>
                <w:bCs w:val="1"/>
                <w:color w:val="auto"/>
              </w:rPr>
              <w:t>in Last FY</w:t>
            </w:r>
            <w:r>
              <w:rPr>
                <w:rFonts w:ascii="Arial" w:cs="Arial" w:eastAsia="Arial" w:hAnsi="Arial"/>
                <w:sz w:val="20"/>
                <w:szCs w:val="20"/>
                <w:b w:val="1"/>
                <w:bCs w:val="1"/>
                <w:color w:val="auto"/>
                <w:vertAlign w:val="superscript"/>
              </w:rPr>
              <w:t>(3)</w:t>
            </w:r>
          </w:p>
        </w:tc>
        <w:tc>
          <w:tcPr>
            <w:tcW w:w="1080" w:type="dxa"/>
            <w:vAlign w:val="bottom"/>
          </w:tcPr>
          <w:p>
            <w:pPr>
              <w:jc w:val="right"/>
              <w:ind w:right="29"/>
              <w:spacing w:after="0"/>
              <w:rPr>
                <w:sz w:val="20"/>
                <w:szCs w:val="20"/>
                <w:color w:val="auto"/>
              </w:rPr>
            </w:pPr>
            <w:r>
              <w:rPr>
                <w:rFonts w:ascii="Arial" w:cs="Arial" w:eastAsia="Arial" w:hAnsi="Arial"/>
                <w:sz w:val="14"/>
                <w:szCs w:val="14"/>
                <w:b w:val="1"/>
                <w:bCs w:val="1"/>
                <w:color w:val="auto"/>
              </w:rPr>
              <w:t>Distributions</w:t>
            </w:r>
          </w:p>
        </w:tc>
        <w:tc>
          <w:tcPr>
            <w:tcW w:w="1100" w:type="dxa"/>
            <w:vAlign w:val="bottom"/>
          </w:tcPr>
          <w:p>
            <w:pPr>
              <w:jc w:val="right"/>
              <w:ind w:right="30"/>
              <w:spacing w:after="0" w:line="173" w:lineRule="exact"/>
              <w:rPr>
                <w:sz w:val="20"/>
                <w:szCs w:val="20"/>
                <w:color w:val="auto"/>
              </w:rPr>
            </w:pPr>
            <w:r>
              <w:rPr>
                <w:rFonts w:ascii="Arial" w:cs="Arial" w:eastAsia="Arial" w:hAnsi="Arial"/>
                <w:sz w:val="13"/>
                <w:szCs w:val="13"/>
                <w:b w:val="1"/>
                <w:bCs w:val="1"/>
                <w:color w:val="auto"/>
              </w:rPr>
              <w:t>at Last FYE</w:t>
            </w:r>
            <w:r>
              <w:rPr>
                <w:rFonts w:ascii="Arial" w:cs="Arial" w:eastAsia="Arial" w:hAnsi="Arial"/>
                <w:sz w:val="20"/>
                <w:szCs w:val="20"/>
                <w:b w:val="1"/>
                <w:bCs w:val="1"/>
                <w:color w:val="auto"/>
                <w:vertAlign w:val="superscript"/>
              </w:rPr>
              <w:t>(4)</w:t>
            </w:r>
          </w:p>
        </w:tc>
      </w:tr>
      <w:tr>
        <w:trPr>
          <w:trHeight w:val="206"/>
        </w:trPr>
        <w:tc>
          <w:tcPr>
            <w:tcW w:w="3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Officer</w:t>
            </w:r>
          </w:p>
        </w:tc>
        <w:tc>
          <w:tcPr>
            <w:tcW w:w="3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w:t>
            </w:r>
          </w:p>
        </w:tc>
      </w:tr>
      <w:tr>
        <w:trPr>
          <w:trHeight w:val="207"/>
        </w:trPr>
        <w:tc>
          <w:tcPr>
            <w:tcW w:w="3640" w:type="dxa"/>
            <w:vAlign w:val="bottom"/>
            <w:tcBorders>
              <w:bottom w:val="single" w:sz="8" w:color="949599"/>
            </w:tcBorders>
          </w:tcPr>
          <w:p>
            <w:pPr>
              <w:ind w:left="80"/>
              <w:spacing w:after="0"/>
              <w:rPr>
                <w:sz w:val="20"/>
                <w:szCs w:val="20"/>
                <w:color w:val="auto"/>
              </w:rPr>
            </w:pPr>
            <w:r>
              <w:rPr>
                <w:rFonts w:ascii="Arial" w:cs="Arial" w:eastAsia="Arial" w:hAnsi="Arial"/>
                <w:sz w:val="14"/>
                <w:szCs w:val="14"/>
                <w:b w:val="1"/>
                <w:bCs w:val="1"/>
                <w:color w:val="009A4B"/>
              </w:rPr>
              <w:t>Seifi Ghasemi</w:t>
            </w:r>
          </w:p>
        </w:tc>
        <w:tc>
          <w:tcPr>
            <w:tcW w:w="3220" w:type="dxa"/>
            <w:vAlign w:val="bottom"/>
            <w:tcBorders>
              <w:bottom w:val="single" w:sz="8" w:color="949599"/>
            </w:tcBorders>
          </w:tcPr>
          <w:p>
            <w:pPr>
              <w:jc w:val="right"/>
              <w:ind w:right="3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949599"/>
            </w:tcBorders>
          </w:tcPr>
          <w:p>
            <w:pPr>
              <w:jc w:val="right"/>
              <w:ind w:right="50"/>
              <w:spacing w:after="0"/>
              <w:rPr>
                <w:sz w:val="20"/>
                <w:szCs w:val="20"/>
                <w:color w:val="auto"/>
              </w:rPr>
            </w:pPr>
            <w:r>
              <w:rPr>
                <w:rFonts w:ascii="Arial" w:cs="Arial" w:eastAsia="Arial" w:hAnsi="Arial"/>
                <w:sz w:val="14"/>
                <w:szCs w:val="14"/>
                <w:color w:val="auto"/>
              </w:rPr>
              <w:t>167,597</w:t>
            </w:r>
          </w:p>
        </w:tc>
        <w:tc>
          <w:tcPr>
            <w:tcW w:w="1060" w:type="dxa"/>
            <w:vAlign w:val="bottom"/>
            <w:tcBorders>
              <w:bottom w:val="single" w:sz="8" w:color="949599"/>
            </w:tcBorders>
          </w:tcPr>
          <w:p>
            <w:pPr>
              <w:jc w:val="right"/>
              <w:ind w:right="30"/>
              <w:spacing w:after="0"/>
              <w:rPr>
                <w:sz w:val="20"/>
                <w:szCs w:val="20"/>
                <w:color w:val="auto"/>
              </w:rPr>
            </w:pPr>
            <w:r>
              <w:rPr>
                <w:rFonts w:ascii="Arial" w:cs="Arial" w:eastAsia="Arial" w:hAnsi="Arial"/>
                <w:sz w:val="14"/>
                <w:szCs w:val="14"/>
                <w:color w:val="auto"/>
              </w:rPr>
              <w:t>42,786</w:t>
            </w:r>
          </w:p>
        </w:tc>
        <w:tc>
          <w:tcPr>
            <w:tcW w:w="1080" w:type="dxa"/>
            <w:vAlign w:val="bottom"/>
            <w:tcBorders>
              <w:bottom w:val="single" w:sz="8" w:color="949599"/>
            </w:tcBorders>
          </w:tcPr>
          <w:p>
            <w:pPr>
              <w:jc w:val="right"/>
              <w:ind w:right="2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949599"/>
            </w:tcBorders>
          </w:tcPr>
          <w:p>
            <w:pPr>
              <w:jc w:val="right"/>
              <w:ind w:right="30"/>
              <w:spacing w:after="0"/>
              <w:rPr>
                <w:sz w:val="20"/>
                <w:szCs w:val="20"/>
                <w:color w:val="auto"/>
              </w:rPr>
            </w:pPr>
            <w:r>
              <w:rPr>
                <w:rFonts w:ascii="Arial" w:cs="Arial" w:eastAsia="Arial" w:hAnsi="Arial"/>
                <w:sz w:val="14"/>
                <w:szCs w:val="14"/>
                <w:color w:val="auto"/>
              </w:rPr>
              <w:t>1,553,947</w:t>
            </w:r>
          </w:p>
        </w:tc>
      </w:tr>
      <w:tr>
        <w:trPr>
          <w:trHeight w:val="206"/>
        </w:trPr>
        <w:tc>
          <w:tcPr>
            <w:tcW w:w="3640" w:type="dxa"/>
            <w:vAlign w:val="bottom"/>
            <w:tcBorders>
              <w:bottom w:val="single" w:sz="8" w:color="949599"/>
            </w:tcBorders>
          </w:tcPr>
          <w:p>
            <w:pPr>
              <w:ind w:left="80"/>
              <w:spacing w:after="0"/>
              <w:rPr>
                <w:sz w:val="20"/>
                <w:szCs w:val="20"/>
                <w:color w:val="auto"/>
              </w:rPr>
            </w:pPr>
            <w:r>
              <w:rPr>
                <w:rFonts w:ascii="Arial" w:cs="Arial" w:eastAsia="Arial" w:hAnsi="Arial"/>
                <w:sz w:val="14"/>
                <w:szCs w:val="14"/>
                <w:b w:val="1"/>
                <w:bCs w:val="1"/>
                <w:color w:val="009A4B"/>
              </w:rPr>
              <w:t>Melissa N. Schaeffer</w:t>
            </w:r>
          </w:p>
        </w:tc>
        <w:tc>
          <w:tcPr>
            <w:tcW w:w="3220" w:type="dxa"/>
            <w:vAlign w:val="bottom"/>
            <w:tcBorders>
              <w:bottom w:val="single" w:sz="8" w:color="949599"/>
            </w:tcBorders>
          </w:tcPr>
          <w:p>
            <w:pPr>
              <w:jc w:val="right"/>
              <w:ind w:right="3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949599"/>
            </w:tcBorders>
          </w:tcPr>
          <w:p>
            <w:pPr>
              <w:jc w:val="right"/>
              <w:ind w:right="50"/>
              <w:spacing w:after="0"/>
              <w:rPr>
                <w:sz w:val="20"/>
                <w:szCs w:val="20"/>
                <w:color w:val="auto"/>
              </w:rPr>
            </w:pPr>
            <w:r>
              <w:rPr>
                <w:rFonts w:ascii="Arial" w:cs="Arial" w:eastAsia="Arial" w:hAnsi="Arial"/>
                <w:sz w:val="14"/>
                <w:szCs w:val="14"/>
                <w:color w:val="auto"/>
              </w:rPr>
              <w:t>4,804</w:t>
            </w:r>
          </w:p>
        </w:tc>
        <w:tc>
          <w:tcPr>
            <w:tcW w:w="1060" w:type="dxa"/>
            <w:vAlign w:val="bottom"/>
            <w:tcBorders>
              <w:bottom w:val="single" w:sz="8" w:color="949599"/>
            </w:tcBorders>
          </w:tcPr>
          <w:p>
            <w:pPr>
              <w:jc w:val="right"/>
              <w:ind w:right="30"/>
              <w:spacing w:after="0"/>
              <w:rPr>
                <w:sz w:val="20"/>
                <w:szCs w:val="20"/>
                <w:color w:val="auto"/>
              </w:rPr>
            </w:pPr>
            <w:r>
              <w:rPr>
                <w:rFonts w:ascii="Arial" w:cs="Arial" w:eastAsia="Arial" w:hAnsi="Arial"/>
                <w:sz w:val="14"/>
                <w:szCs w:val="14"/>
                <w:color w:val="auto"/>
              </w:rPr>
              <w:t>655</w:t>
            </w:r>
          </w:p>
        </w:tc>
        <w:tc>
          <w:tcPr>
            <w:tcW w:w="1080" w:type="dxa"/>
            <w:vAlign w:val="bottom"/>
            <w:tcBorders>
              <w:bottom w:val="single" w:sz="8" w:color="949599"/>
            </w:tcBorders>
          </w:tcPr>
          <w:p>
            <w:pPr>
              <w:jc w:val="right"/>
              <w:ind w:right="2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949599"/>
            </w:tcBorders>
          </w:tcPr>
          <w:p>
            <w:pPr>
              <w:jc w:val="right"/>
              <w:ind w:right="30"/>
              <w:spacing w:after="0"/>
              <w:rPr>
                <w:sz w:val="20"/>
                <w:szCs w:val="20"/>
                <w:color w:val="auto"/>
              </w:rPr>
            </w:pPr>
            <w:r>
              <w:rPr>
                <w:rFonts w:ascii="Arial" w:cs="Arial" w:eastAsia="Arial" w:hAnsi="Arial"/>
                <w:sz w:val="14"/>
                <w:szCs w:val="14"/>
                <w:color w:val="auto"/>
              </w:rPr>
              <w:t>24,043</w:t>
            </w:r>
          </w:p>
        </w:tc>
      </w:tr>
      <w:tr>
        <w:trPr>
          <w:trHeight w:val="206"/>
        </w:trPr>
        <w:tc>
          <w:tcPr>
            <w:tcW w:w="3640" w:type="dxa"/>
            <w:vAlign w:val="bottom"/>
            <w:tcBorders>
              <w:bottom w:val="single" w:sz="8" w:color="949599"/>
            </w:tcBorders>
          </w:tcPr>
          <w:p>
            <w:pPr>
              <w:ind w:left="80"/>
              <w:spacing w:after="0"/>
              <w:rPr>
                <w:sz w:val="20"/>
                <w:szCs w:val="20"/>
                <w:color w:val="auto"/>
              </w:rPr>
            </w:pPr>
            <w:r>
              <w:rPr>
                <w:rFonts w:ascii="Arial" w:cs="Arial" w:eastAsia="Arial" w:hAnsi="Arial"/>
                <w:sz w:val="14"/>
                <w:szCs w:val="14"/>
                <w:b w:val="1"/>
                <w:bCs w:val="1"/>
                <w:color w:val="009A4B"/>
              </w:rPr>
              <w:t>M. Scott Crocco</w:t>
            </w:r>
          </w:p>
        </w:tc>
        <w:tc>
          <w:tcPr>
            <w:tcW w:w="3220" w:type="dxa"/>
            <w:vAlign w:val="bottom"/>
            <w:tcBorders>
              <w:bottom w:val="single" w:sz="8" w:color="949599"/>
            </w:tcBorders>
          </w:tcPr>
          <w:p>
            <w:pPr>
              <w:jc w:val="right"/>
              <w:ind w:right="3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949599"/>
            </w:tcBorders>
          </w:tcPr>
          <w:p>
            <w:pPr>
              <w:jc w:val="right"/>
              <w:ind w:right="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949599"/>
            </w:tcBorders>
          </w:tcPr>
          <w:p>
            <w:pPr>
              <w:jc w:val="right"/>
              <w:ind w:right="30"/>
              <w:spacing w:after="0"/>
              <w:rPr>
                <w:sz w:val="20"/>
                <w:szCs w:val="20"/>
                <w:color w:val="auto"/>
              </w:rPr>
            </w:pPr>
            <w:r>
              <w:rPr>
                <w:rFonts w:ascii="Arial" w:cs="Arial" w:eastAsia="Arial" w:hAnsi="Arial"/>
                <w:sz w:val="14"/>
                <w:szCs w:val="14"/>
                <w:color w:val="auto"/>
              </w:rPr>
              <w:t>28,967</w:t>
            </w:r>
          </w:p>
        </w:tc>
        <w:tc>
          <w:tcPr>
            <w:tcW w:w="1080" w:type="dxa"/>
            <w:vAlign w:val="bottom"/>
            <w:tcBorders>
              <w:bottom w:val="single" w:sz="8" w:color="949599"/>
            </w:tcBorders>
          </w:tcPr>
          <w:p>
            <w:pPr>
              <w:jc w:val="right"/>
              <w:ind w:right="2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949599"/>
            </w:tcBorders>
          </w:tcPr>
          <w:p>
            <w:pPr>
              <w:jc w:val="right"/>
              <w:ind w:right="30"/>
              <w:spacing w:after="0"/>
              <w:rPr>
                <w:sz w:val="20"/>
                <w:szCs w:val="20"/>
                <w:color w:val="auto"/>
              </w:rPr>
            </w:pPr>
            <w:r>
              <w:rPr>
                <w:rFonts w:ascii="Arial" w:cs="Arial" w:eastAsia="Arial" w:hAnsi="Arial"/>
                <w:sz w:val="14"/>
                <w:szCs w:val="14"/>
                <w:color w:val="auto"/>
              </w:rPr>
              <w:t>1,018,629</w:t>
            </w:r>
          </w:p>
        </w:tc>
      </w:tr>
      <w:tr>
        <w:trPr>
          <w:trHeight w:val="206"/>
        </w:trPr>
        <w:tc>
          <w:tcPr>
            <w:tcW w:w="3640" w:type="dxa"/>
            <w:vAlign w:val="bottom"/>
            <w:tcBorders>
              <w:bottom w:val="single" w:sz="8" w:color="949599"/>
            </w:tcBorders>
          </w:tcPr>
          <w:p>
            <w:pPr>
              <w:ind w:left="80"/>
              <w:spacing w:after="0"/>
              <w:rPr>
                <w:sz w:val="20"/>
                <w:szCs w:val="20"/>
                <w:color w:val="auto"/>
              </w:rPr>
            </w:pPr>
            <w:r>
              <w:rPr>
                <w:rFonts w:ascii="Arial" w:cs="Arial" w:eastAsia="Arial" w:hAnsi="Arial"/>
                <w:sz w:val="14"/>
                <w:szCs w:val="14"/>
                <w:b w:val="1"/>
                <w:bCs w:val="1"/>
                <w:color w:val="009A4B"/>
              </w:rPr>
              <w:t>Sean D. Major</w:t>
            </w:r>
          </w:p>
        </w:tc>
        <w:tc>
          <w:tcPr>
            <w:tcW w:w="3220" w:type="dxa"/>
            <w:vAlign w:val="bottom"/>
            <w:tcBorders>
              <w:bottom w:val="single" w:sz="8" w:color="949599"/>
            </w:tcBorders>
          </w:tcPr>
          <w:p>
            <w:pPr>
              <w:jc w:val="right"/>
              <w:ind w:right="30"/>
              <w:spacing w:after="0"/>
              <w:rPr>
                <w:sz w:val="20"/>
                <w:szCs w:val="20"/>
                <w:color w:val="auto"/>
              </w:rPr>
            </w:pPr>
            <w:r>
              <w:rPr>
                <w:rFonts w:ascii="Arial" w:cs="Arial" w:eastAsia="Arial" w:hAnsi="Arial"/>
                <w:sz w:val="14"/>
                <w:szCs w:val="14"/>
                <w:color w:val="auto"/>
              </w:rPr>
              <w:t>12,692</w:t>
            </w:r>
          </w:p>
        </w:tc>
        <w:tc>
          <w:tcPr>
            <w:tcW w:w="1140" w:type="dxa"/>
            <w:vAlign w:val="bottom"/>
            <w:tcBorders>
              <w:bottom w:val="single" w:sz="8" w:color="949599"/>
            </w:tcBorders>
          </w:tcPr>
          <w:p>
            <w:pPr>
              <w:jc w:val="right"/>
              <w:ind w:right="50"/>
              <w:spacing w:after="0"/>
              <w:rPr>
                <w:sz w:val="20"/>
                <w:szCs w:val="20"/>
                <w:color w:val="auto"/>
              </w:rPr>
            </w:pPr>
            <w:r>
              <w:rPr>
                <w:rFonts w:ascii="Arial" w:cs="Arial" w:eastAsia="Arial" w:hAnsi="Arial"/>
                <w:sz w:val="14"/>
                <w:szCs w:val="14"/>
                <w:color w:val="auto"/>
              </w:rPr>
              <w:t>39,670</w:t>
            </w:r>
          </w:p>
        </w:tc>
        <w:tc>
          <w:tcPr>
            <w:tcW w:w="1060" w:type="dxa"/>
            <w:vAlign w:val="bottom"/>
            <w:tcBorders>
              <w:bottom w:val="single" w:sz="8" w:color="949599"/>
            </w:tcBorders>
          </w:tcPr>
          <w:p>
            <w:pPr>
              <w:jc w:val="right"/>
              <w:ind w:right="30"/>
              <w:spacing w:after="0"/>
              <w:rPr>
                <w:sz w:val="20"/>
                <w:szCs w:val="20"/>
                <w:color w:val="auto"/>
              </w:rPr>
            </w:pPr>
            <w:r>
              <w:rPr>
                <w:rFonts w:ascii="Arial" w:cs="Arial" w:eastAsia="Arial" w:hAnsi="Arial"/>
                <w:sz w:val="14"/>
                <w:szCs w:val="14"/>
                <w:color w:val="auto"/>
              </w:rPr>
              <w:t>6,434</w:t>
            </w:r>
          </w:p>
        </w:tc>
        <w:tc>
          <w:tcPr>
            <w:tcW w:w="1080" w:type="dxa"/>
            <w:vAlign w:val="bottom"/>
            <w:tcBorders>
              <w:bottom w:val="single" w:sz="8" w:color="949599"/>
            </w:tcBorders>
          </w:tcPr>
          <w:p>
            <w:pPr>
              <w:jc w:val="right"/>
              <w:ind w:right="2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949599"/>
            </w:tcBorders>
          </w:tcPr>
          <w:p>
            <w:pPr>
              <w:jc w:val="right"/>
              <w:ind w:right="30"/>
              <w:spacing w:after="0"/>
              <w:rPr>
                <w:sz w:val="20"/>
                <w:szCs w:val="20"/>
                <w:color w:val="auto"/>
              </w:rPr>
            </w:pPr>
            <w:r>
              <w:rPr>
                <w:rFonts w:ascii="Arial" w:cs="Arial" w:eastAsia="Arial" w:hAnsi="Arial"/>
                <w:sz w:val="14"/>
                <w:szCs w:val="14"/>
                <w:color w:val="auto"/>
              </w:rPr>
              <w:t>245,562</w:t>
            </w:r>
          </w:p>
        </w:tc>
      </w:tr>
      <w:tr>
        <w:trPr>
          <w:trHeight w:val="219"/>
        </w:trPr>
        <w:tc>
          <w:tcPr>
            <w:tcW w:w="3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9A4B"/>
              </w:rPr>
              <w:t>Samir J. Serhan</w:t>
            </w:r>
          </w:p>
        </w:tc>
        <w:tc>
          <w:tcPr>
            <w:tcW w:w="3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50,530</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7,182</w:t>
            </w:r>
          </w:p>
        </w:tc>
        <w:tc>
          <w:tcPr>
            <w:tcW w:w="10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268,699</w:t>
            </w:r>
          </w:p>
        </w:tc>
      </w:tr>
    </w:tbl>
    <w:p>
      <w:pPr>
        <w:spacing w:after="0" w:line="59" w:lineRule="exact"/>
        <w:rPr>
          <w:sz w:val="20"/>
          <w:szCs w:val="20"/>
          <w:color w:val="auto"/>
        </w:rPr>
      </w:pPr>
    </w:p>
    <w:p>
      <w:pPr>
        <w:ind w:left="300" w:hanging="294"/>
        <w:spacing w:after="0"/>
        <w:tabs>
          <w:tab w:leader="none" w:pos="30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Amounts reported in this column were voluntary deferrals of base salary. These amounts also are reported in the Summary Compensation Table.</w:t>
      </w:r>
    </w:p>
    <w:p>
      <w:pPr>
        <w:spacing w:after="0" w:line="95" w:lineRule="exact"/>
        <w:rPr>
          <w:rFonts w:ascii="Arial" w:cs="Arial" w:eastAsia="Arial" w:hAnsi="Arial"/>
          <w:sz w:val="24"/>
          <w:szCs w:val="24"/>
          <w:color w:val="auto"/>
          <w:vertAlign w:val="superscript"/>
        </w:rPr>
      </w:pPr>
    </w:p>
    <w:p>
      <w:pPr>
        <w:ind w:left="300" w:right="220" w:hanging="294"/>
        <w:spacing w:after="0" w:line="196" w:lineRule="auto"/>
        <w:tabs>
          <w:tab w:leader="none" w:pos="30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Mr. Ghasemi, Ms. Schaeffer, Mr. Major and Dr. Serhan receive a Company contribution credit of their Annual Incentive Plan awards because they receive their primary retirement benefit under the Company’s defined contribution RSP rather than the Salaried Pension Plan and Supplementary Plan. Amounts reported in this column are also reported in the Summary Compensation Table.</w:t>
      </w:r>
    </w:p>
    <w:p>
      <w:pPr>
        <w:spacing w:after="0" w:line="1" w:lineRule="exact"/>
        <w:rPr>
          <w:rFonts w:ascii="Arial" w:cs="Arial" w:eastAsia="Arial" w:hAnsi="Arial"/>
          <w:sz w:val="24"/>
          <w:szCs w:val="24"/>
          <w:color w:val="auto"/>
          <w:vertAlign w:val="superscript"/>
        </w:rPr>
      </w:pPr>
    </w:p>
    <w:p>
      <w:pPr>
        <w:ind w:left="300" w:hanging="294"/>
        <w:spacing w:after="0" w:line="231" w:lineRule="auto"/>
        <w:tabs>
          <w:tab w:leader="none" w:pos="30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A portion of the earnings reflected in this column are reported in the Summary Compensation Table as above-market interest, as described in footnote 5 to such table.</w:t>
      </w:r>
    </w:p>
    <w:p>
      <w:pPr>
        <w:spacing w:after="0" w:line="96" w:lineRule="exact"/>
        <w:rPr>
          <w:rFonts w:ascii="Arial" w:cs="Arial" w:eastAsia="Arial" w:hAnsi="Arial"/>
          <w:sz w:val="24"/>
          <w:szCs w:val="24"/>
          <w:color w:val="auto"/>
          <w:vertAlign w:val="superscript"/>
        </w:rPr>
      </w:pPr>
    </w:p>
    <w:p>
      <w:pPr>
        <w:ind w:left="300" w:right="60" w:hanging="294"/>
        <w:spacing w:after="0" w:line="181" w:lineRule="auto"/>
        <w:tabs>
          <w:tab w:leader="none" w:pos="30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The following portion of these accumulated balances has been previously reported as compensation in the Summary Compensation Table of the Company’s proxy statements for prior years: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5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Amount</w:t>
            </w:r>
          </w:p>
        </w:tc>
      </w:tr>
      <w:tr>
        <w:trPr>
          <w:trHeight w:val="160"/>
        </w:trPr>
        <w:tc>
          <w:tcPr>
            <w:tcW w:w="3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5620" w:type="dxa"/>
            <w:vAlign w:val="bottom"/>
            <w:gridSpan w:val="2"/>
          </w:tcPr>
          <w:p>
            <w:pPr>
              <w:jc w:val="right"/>
              <w:ind w:right="260"/>
              <w:spacing w:after="0" w:line="160" w:lineRule="exact"/>
              <w:rPr>
                <w:sz w:val="20"/>
                <w:szCs w:val="20"/>
                <w:color w:val="auto"/>
              </w:rPr>
            </w:pPr>
            <w:r>
              <w:rPr>
                <w:rFonts w:ascii="Arial" w:cs="Arial" w:eastAsia="Arial" w:hAnsi="Arial"/>
                <w:sz w:val="14"/>
                <w:szCs w:val="14"/>
                <w:b w:val="1"/>
                <w:bCs w:val="1"/>
                <w:color w:val="auto"/>
              </w:rPr>
              <w:t>Previously</w:t>
            </w:r>
          </w:p>
        </w:tc>
      </w:tr>
      <w:tr>
        <w:trPr>
          <w:trHeight w:val="160"/>
        </w:trPr>
        <w:tc>
          <w:tcPr>
            <w:tcW w:w="3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5620" w:type="dxa"/>
            <w:vAlign w:val="bottom"/>
            <w:gridSpan w:val="2"/>
          </w:tcPr>
          <w:p>
            <w:pPr>
              <w:jc w:val="right"/>
              <w:ind w:right="260"/>
              <w:spacing w:after="0" w:line="160" w:lineRule="exact"/>
              <w:rPr>
                <w:sz w:val="20"/>
                <w:szCs w:val="20"/>
                <w:color w:val="auto"/>
              </w:rPr>
            </w:pPr>
            <w:r>
              <w:rPr>
                <w:rFonts w:ascii="Arial" w:cs="Arial" w:eastAsia="Arial" w:hAnsi="Arial"/>
                <w:sz w:val="14"/>
                <w:szCs w:val="14"/>
                <w:b w:val="1"/>
                <w:bCs w:val="1"/>
                <w:color w:val="auto"/>
              </w:rPr>
              <w:t>Reported</w:t>
            </w:r>
          </w:p>
        </w:tc>
      </w:tr>
      <w:tr>
        <w:trPr>
          <w:trHeight w:val="206"/>
        </w:trPr>
        <w:tc>
          <w:tcPr>
            <w:tcW w:w="320" w:type="dxa"/>
            <w:vAlign w:val="bottom"/>
          </w:tcPr>
          <w:p>
            <w:pPr>
              <w:spacing w:after="0"/>
              <w:rPr>
                <w:sz w:val="17"/>
                <w:szCs w:val="17"/>
                <w:color w:val="auto"/>
              </w:rPr>
            </w:pPr>
          </w:p>
        </w:tc>
        <w:tc>
          <w:tcPr>
            <w:tcW w:w="53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Officer</w:t>
            </w:r>
          </w:p>
        </w:tc>
        <w:tc>
          <w:tcPr>
            <w:tcW w:w="54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r>
      <w:tr>
        <w:trPr>
          <w:trHeight w:val="207"/>
        </w:trPr>
        <w:tc>
          <w:tcPr>
            <w:tcW w:w="320" w:type="dxa"/>
            <w:vAlign w:val="bottom"/>
          </w:tcPr>
          <w:p>
            <w:pPr>
              <w:spacing w:after="0"/>
              <w:rPr>
                <w:sz w:val="18"/>
                <w:szCs w:val="18"/>
                <w:color w:val="auto"/>
              </w:rPr>
            </w:pPr>
          </w:p>
        </w:tc>
        <w:tc>
          <w:tcPr>
            <w:tcW w:w="5320" w:type="dxa"/>
            <w:vAlign w:val="bottom"/>
            <w:tcBorders>
              <w:bottom w:val="single" w:sz="8" w:color="949599"/>
            </w:tcBorders>
          </w:tcPr>
          <w:p>
            <w:pPr>
              <w:ind w:left="80"/>
              <w:spacing w:after="0"/>
              <w:rPr>
                <w:sz w:val="20"/>
                <w:szCs w:val="20"/>
                <w:color w:val="auto"/>
              </w:rPr>
            </w:pPr>
            <w:r>
              <w:rPr>
                <w:rFonts w:ascii="Arial" w:cs="Arial" w:eastAsia="Arial" w:hAnsi="Arial"/>
                <w:sz w:val="14"/>
                <w:szCs w:val="14"/>
                <w:b w:val="1"/>
                <w:bCs w:val="1"/>
                <w:color w:val="009A4B"/>
              </w:rPr>
              <w:t>Seifi Ghasemi</w:t>
            </w:r>
          </w:p>
        </w:tc>
        <w:tc>
          <w:tcPr>
            <w:tcW w:w="5460" w:type="dxa"/>
            <w:vAlign w:val="bottom"/>
            <w:tcBorders>
              <w:bottom w:val="single" w:sz="8" w:color="949599"/>
            </w:tcBorders>
          </w:tcPr>
          <w:p>
            <w:pPr>
              <w:jc w:val="right"/>
              <w:ind w:right="29"/>
              <w:spacing w:after="0"/>
              <w:rPr>
                <w:sz w:val="20"/>
                <w:szCs w:val="20"/>
                <w:color w:val="auto"/>
              </w:rPr>
            </w:pPr>
            <w:r>
              <w:rPr>
                <w:rFonts w:ascii="Arial" w:cs="Arial" w:eastAsia="Arial" w:hAnsi="Arial"/>
                <w:sz w:val="14"/>
                <w:szCs w:val="14"/>
                <w:color w:val="auto"/>
              </w:rPr>
              <w:t>1,219,551</w:t>
            </w:r>
          </w:p>
        </w:tc>
        <w:tc>
          <w:tcPr>
            <w:tcW w:w="160" w:type="dxa"/>
            <w:vAlign w:val="bottom"/>
          </w:tcPr>
          <w:p>
            <w:pPr>
              <w:spacing w:after="0"/>
              <w:rPr>
                <w:sz w:val="18"/>
                <w:szCs w:val="18"/>
                <w:color w:val="auto"/>
              </w:rPr>
            </w:pPr>
          </w:p>
        </w:tc>
      </w:tr>
      <w:tr>
        <w:trPr>
          <w:trHeight w:val="206"/>
        </w:trPr>
        <w:tc>
          <w:tcPr>
            <w:tcW w:w="320" w:type="dxa"/>
            <w:vAlign w:val="bottom"/>
          </w:tcPr>
          <w:p>
            <w:pPr>
              <w:spacing w:after="0"/>
              <w:rPr>
                <w:sz w:val="17"/>
                <w:szCs w:val="17"/>
                <w:color w:val="auto"/>
              </w:rPr>
            </w:pPr>
          </w:p>
        </w:tc>
        <w:tc>
          <w:tcPr>
            <w:tcW w:w="5320" w:type="dxa"/>
            <w:vAlign w:val="bottom"/>
            <w:tcBorders>
              <w:bottom w:val="single" w:sz="8" w:color="949599"/>
            </w:tcBorders>
          </w:tcPr>
          <w:p>
            <w:pPr>
              <w:ind w:left="80"/>
              <w:spacing w:after="0"/>
              <w:rPr>
                <w:sz w:val="20"/>
                <w:szCs w:val="20"/>
                <w:color w:val="auto"/>
              </w:rPr>
            </w:pPr>
            <w:r>
              <w:rPr>
                <w:rFonts w:ascii="Arial" w:cs="Arial" w:eastAsia="Arial" w:hAnsi="Arial"/>
                <w:sz w:val="14"/>
                <w:szCs w:val="14"/>
                <w:b w:val="1"/>
                <w:bCs w:val="1"/>
                <w:color w:val="009A4B"/>
              </w:rPr>
              <w:t>Melissa N. Schaeffer</w:t>
            </w:r>
          </w:p>
        </w:tc>
        <w:tc>
          <w:tcPr>
            <w:tcW w:w="5460" w:type="dxa"/>
            <w:vAlign w:val="bottom"/>
            <w:tcBorders>
              <w:bottom w:val="single" w:sz="8" w:color="949599"/>
            </w:tcBorders>
          </w:tcPr>
          <w:p>
            <w:pPr>
              <w:jc w:val="right"/>
              <w:ind w:right="29"/>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7"/>
                <w:szCs w:val="17"/>
                <w:color w:val="auto"/>
              </w:rPr>
            </w:pPr>
          </w:p>
        </w:tc>
      </w:tr>
      <w:tr>
        <w:trPr>
          <w:trHeight w:val="206"/>
        </w:trPr>
        <w:tc>
          <w:tcPr>
            <w:tcW w:w="320" w:type="dxa"/>
            <w:vAlign w:val="bottom"/>
          </w:tcPr>
          <w:p>
            <w:pPr>
              <w:spacing w:after="0"/>
              <w:rPr>
                <w:sz w:val="17"/>
                <w:szCs w:val="17"/>
                <w:color w:val="auto"/>
              </w:rPr>
            </w:pPr>
          </w:p>
        </w:tc>
        <w:tc>
          <w:tcPr>
            <w:tcW w:w="5320" w:type="dxa"/>
            <w:vAlign w:val="bottom"/>
            <w:tcBorders>
              <w:bottom w:val="single" w:sz="8" w:color="949599"/>
            </w:tcBorders>
          </w:tcPr>
          <w:p>
            <w:pPr>
              <w:ind w:left="80"/>
              <w:spacing w:after="0"/>
              <w:rPr>
                <w:sz w:val="20"/>
                <w:szCs w:val="20"/>
                <w:color w:val="auto"/>
              </w:rPr>
            </w:pPr>
            <w:r>
              <w:rPr>
                <w:rFonts w:ascii="Arial" w:cs="Arial" w:eastAsia="Arial" w:hAnsi="Arial"/>
                <w:sz w:val="14"/>
                <w:szCs w:val="14"/>
                <w:b w:val="1"/>
                <w:bCs w:val="1"/>
                <w:color w:val="009A4B"/>
              </w:rPr>
              <w:t>M. Scott Crocco</w:t>
            </w:r>
          </w:p>
        </w:tc>
        <w:tc>
          <w:tcPr>
            <w:tcW w:w="5460" w:type="dxa"/>
            <w:vAlign w:val="bottom"/>
            <w:tcBorders>
              <w:bottom w:val="single" w:sz="8" w:color="949599"/>
            </w:tcBorders>
          </w:tcPr>
          <w:p>
            <w:pPr>
              <w:jc w:val="right"/>
              <w:ind w:right="29"/>
              <w:spacing w:after="0"/>
              <w:rPr>
                <w:sz w:val="20"/>
                <w:szCs w:val="20"/>
                <w:color w:val="auto"/>
              </w:rPr>
            </w:pPr>
            <w:r>
              <w:rPr>
                <w:rFonts w:ascii="Arial" w:cs="Arial" w:eastAsia="Arial" w:hAnsi="Arial"/>
                <w:sz w:val="14"/>
                <w:szCs w:val="14"/>
                <w:color w:val="auto"/>
              </w:rPr>
              <w:t>586,069</w:t>
            </w:r>
          </w:p>
        </w:tc>
        <w:tc>
          <w:tcPr>
            <w:tcW w:w="160" w:type="dxa"/>
            <w:vAlign w:val="bottom"/>
          </w:tcPr>
          <w:p>
            <w:pPr>
              <w:spacing w:after="0"/>
              <w:rPr>
                <w:sz w:val="17"/>
                <w:szCs w:val="17"/>
                <w:color w:val="auto"/>
              </w:rPr>
            </w:pPr>
          </w:p>
        </w:tc>
      </w:tr>
      <w:tr>
        <w:trPr>
          <w:trHeight w:val="206"/>
        </w:trPr>
        <w:tc>
          <w:tcPr>
            <w:tcW w:w="320" w:type="dxa"/>
            <w:vAlign w:val="bottom"/>
          </w:tcPr>
          <w:p>
            <w:pPr>
              <w:spacing w:after="0"/>
              <w:rPr>
                <w:sz w:val="17"/>
                <w:szCs w:val="17"/>
                <w:color w:val="auto"/>
              </w:rPr>
            </w:pPr>
          </w:p>
        </w:tc>
        <w:tc>
          <w:tcPr>
            <w:tcW w:w="5320" w:type="dxa"/>
            <w:vAlign w:val="bottom"/>
            <w:tcBorders>
              <w:bottom w:val="single" w:sz="8" w:color="949599"/>
            </w:tcBorders>
          </w:tcPr>
          <w:p>
            <w:pPr>
              <w:ind w:left="80"/>
              <w:spacing w:after="0"/>
              <w:rPr>
                <w:sz w:val="20"/>
                <w:szCs w:val="20"/>
                <w:color w:val="auto"/>
              </w:rPr>
            </w:pPr>
            <w:r>
              <w:rPr>
                <w:rFonts w:ascii="Arial" w:cs="Arial" w:eastAsia="Arial" w:hAnsi="Arial"/>
                <w:sz w:val="14"/>
                <w:szCs w:val="14"/>
                <w:b w:val="1"/>
                <w:bCs w:val="1"/>
                <w:color w:val="009A4B"/>
              </w:rPr>
              <w:t>Sean D. Major</w:t>
            </w:r>
          </w:p>
        </w:tc>
        <w:tc>
          <w:tcPr>
            <w:tcW w:w="5460" w:type="dxa"/>
            <w:vAlign w:val="bottom"/>
            <w:tcBorders>
              <w:bottom w:val="single" w:sz="8" w:color="949599"/>
            </w:tcBorders>
          </w:tcPr>
          <w:p>
            <w:pPr>
              <w:jc w:val="right"/>
              <w:ind w:right="29"/>
              <w:spacing w:after="0"/>
              <w:rPr>
                <w:sz w:val="20"/>
                <w:szCs w:val="20"/>
                <w:color w:val="auto"/>
              </w:rPr>
            </w:pPr>
            <w:r>
              <w:rPr>
                <w:rFonts w:ascii="Arial" w:cs="Arial" w:eastAsia="Arial" w:hAnsi="Arial"/>
                <w:sz w:val="14"/>
                <w:szCs w:val="14"/>
                <w:color w:val="auto"/>
              </w:rPr>
              <w:t>178,441</w:t>
            </w:r>
          </w:p>
        </w:tc>
        <w:tc>
          <w:tcPr>
            <w:tcW w:w="160" w:type="dxa"/>
            <w:vAlign w:val="bottom"/>
          </w:tcPr>
          <w:p>
            <w:pPr>
              <w:spacing w:after="0"/>
              <w:rPr>
                <w:sz w:val="17"/>
                <w:szCs w:val="17"/>
                <w:color w:val="auto"/>
              </w:rPr>
            </w:pPr>
          </w:p>
        </w:tc>
      </w:tr>
      <w:tr>
        <w:trPr>
          <w:trHeight w:val="219"/>
        </w:trPr>
        <w:tc>
          <w:tcPr>
            <w:tcW w:w="320" w:type="dxa"/>
            <w:vAlign w:val="bottom"/>
          </w:tcPr>
          <w:p>
            <w:pPr>
              <w:spacing w:after="0"/>
              <w:rPr>
                <w:sz w:val="19"/>
                <w:szCs w:val="19"/>
                <w:color w:val="auto"/>
              </w:rPr>
            </w:pPr>
          </w:p>
        </w:tc>
        <w:tc>
          <w:tcPr>
            <w:tcW w:w="53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9A4B"/>
              </w:rPr>
              <w:t>Samir J. Serhan</w:t>
            </w:r>
          </w:p>
        </w:tc>
        <w:tc>
          <w:tcPr>
            <w:tcW w:w="54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200,979</w:t>
            </w:r>
          </w:p>
        </w:tc>
        <w:tc>
          <w:tcPr>
            <w:tcW w:w="160" w:type="dxa"/>
            <w:vAlign w:val="bottom"/>
          </w:tcPr>
          <w:p>
            <w:pPr>
              <w:spacing w:after="0"/>
              <w:rPr>
                <w:sz w:val="19"/>
                <w:szCs w:val="19"/>
                <w:color w:val="auto"/>
              </w:rPr>
            </w:pPr>
          </w:p>
        </w:tc>
      </w:tr>
      <w:tr>
        <w:trPr>
          <w:trHeight w:val="322"/>
        </w:trPr>
        <w:tc>
          <w:tcPr>
            <w:tcW w:w="3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5620" w:type="dxa"/>
            <w:vAlign w:val="bottom"/>
            <w:gridSpan w:val="2"/>
          </w:tcPr>
          <w:p>
            <w:pPr>
              <w:ind w:left="3840"/>
              <w:spacing w:after="0"/>
              <w:rPr>
                <w:sz w:val="20"/>
                <w:szCs w:val="20"/>
                <w:color w:val="auto"/>
              </w:rPr>
            </w:pPr>
            <w:r>
              <w:rPr>
                <w:rFonts w:ascii="Arial" w:cs="Arial" w:eastAsia="Arial" w:hAnsi="Arial"/>
                <w:sz w:val="14"/>
                <w:szCs w:val="14"/>
                <w:color w:val="auto"/>
              </w:rPr>
              <w:t xml:space="preserve">2022 Proxy Statement   </w:t>
            </w:r>
            <w:r>
              <w:rPr>
                <w:rFonts w:ascii="Arial" w:cs="Arial" w:eastAsia="Arial" w:hAnsi="Arial"/>
                <w:sz w:val="14"/>
                <w:szCs w:val="14"/>
                <w:b w:val="1"/>
                <w:bCs w:val="1"/>
                <w:color w:val="auto"/>
              </w:rPr>
              <w:t>53</w:t>
            </w:r>
          </w:p>
        </w:tc>
      </w:tr>
      <w:tr>
        <w:trPr>
          <w:trHeight w:val="128"/>
        </w:trPr>
        <w:tc>
          <w:tcPr>
            <w:tcW w:w="320" w:type="dxa"/>
            <w:vAlign w:val="bottom"/>
            <w:tcBorders>
              <w:bottom w:val="single" w:sz="8" w:color="808080"/>
            </w:tcBorders>
          </w:tcPr>
          <w:p>
            <w:pPr>
              <w:spacing w:after="0"/>
              <w:rPr>
                <w:sz w:val="11"/>
                <w:szCs w:val="11"/>
                <w:color w:val="auto"/>
              </w:rPr>
            </w:pPr>
          </w:p>
        </w:tc>
        <w:tc>
          <w:tcPr>
            <w:tcW w:w="5320" w:type="dxa"/>
            <w:vAlign w:val="bottom"/>
            <w:tcBorders>
              <w:bottom w:val="single" w:sz="8" w:color="808080"/>
            </w:tcBorders>
          </w:tcPr>
          <w:p>
            <w:pPr>
              <w:spacing w:after="0"/>
              <w:rPr>
                <w:sz w:val="11"/>
                <w:szCs w:val="11"/>
                <w:color w:val="auto"/>
              </w:rPr>
            </w:pPr>
          </w:p>
        </w:tc>
        <w:tc>
          <w:tcPr>
            <w:tcW w:w="54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-13970</wp:posOffset>
            </wp:positionV>
            <wp:extent cx="12700" cy="8255"/>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right="160"/>
        <w:spacing w:after="0" w:line="244" w:lineRule="auto"/>
        <w:rPr>
          <w:sz w:val="20"/>
          <w:szCs w:val="20"/>
          <w:color w:val="auto"/>
        </w:rPr>
      </w:pPr>
      <w:r>
        <w:rPr>
          <w:rFonts w:ascii="Arial" w:cs="Arial" w:eastAsia="Arial" w:hAnsi="Arial"/>
          <w:sz w:val="16"/>
          <w:szCs w:val="16"/>
          <w:color w:val="auto"/>
        </w:rPr>
        <w:t>The Company provides the tax-qualified RSP to all U.S.-based salaried and certain hourly employees of the Company. Currently, U.S. tax laws limit the amounts that may be contributed to tax-qualified savings plans and the amount of compensation that can be taken into account in computing benefits under the RSP. The Deferred Compensation Plan was amended and restated effective January 1, 2018 to “unlink” the RSP from the Deferred Compensation Plan. Prior to January 1, 2018, elective deferrals to the RSP in excess of the U.S. tax law limits would automatically be deferred into the Deferred Compensation Plan. Effective January 1, 2018, once a participant reaches the U.S. tax law limits in the RSP for elective deferrals such deferrals cease and are not contributed to the Deferred Compensation Plan; rather, Deferred Compensation Plan participants may make a separate deferral election prior to the relevant calendar year to defer amounts of base salary into the Deferred Compensation Plan. The Deferred Compensation Plan is intended to permit participants to defer an amount of base salary and to make up, out of general assets of the Company, an amount substantially equal to certain benefits an employee did not receive under the RSP due to these limits. U.S. employees who participate in the Annual Incentive Plan, including all executive officers, are eligible to participate in the Deferred Compensation Plan. Participants can elect to defer up to 50% of base salary on a before-tax basis and up to 75% of Annual Incentive Plan awards.</w:t>
      </w:r>
    </w:p>
    <w:p>
      <w:pPr>
        <w:spacing w:after="0" w:line="152"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The Deferred Compensation Plan provides for a Company matching credit for participants in the RSP, including all executive officers, whose Company matching contribution in the RSP is limited by the U.S. tax law limitations. The Deferred Compensation Plan provides for a Company core credit on base salary when such core contribution in the RSP is limited by U.S. tax law limitations and on Annual Incentive Plan awards for employees who receive their primary retirement benefit under the RSP rather than the Salaried Pension Plan, including Mr. Ghasemi, Ms. Schaeffer, Mr. Major and Dr. Serhan.</w:t>
      </w:r>
    </w:p>
    <w:p>
      <w:pPr>
        <w:spacing w:after="0" w:line="151"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Participants may elect to have their Deferred Compensation Plan balances earn interest at a corporate bond rate or be deemed to be invested in Company stock and earn dividend equivalents and market appreciation on the stock. If a participant chooses the Company stock alternative, his or her account balance will be distributed in shares of Company stock except for dividend equivalents that are distributed in cash.</w:t>
      </w:r>
    </w:p>
    <w:p>
      <w:pPr>
        <w:spacing w:after="0" w:line="148" w:lineRule="exact"/>
        <w:rPr>
          <w:sz w:val="20"/>
          <w:szCs w:val="20"/>
          <w:color w:val="auto"/>
        </w:rPr>
      </w:pPr>
    </w:p>
    <w:p>
      <w:pPr>
        <w:jc w:val="both"/>
        <w:ind w:right="200"/>
        <w:spacing w:after="0" w:line="248" w:lineRule="auto"/>
        <w:rPr>
          <w:sz w:val="20"/>
          <w:szCs w:val="20"/>
          <w:color w:val="auto"/>
        </w:rPr>
      </w:pPr>
      <w:r>
        <w:rPr>
          <w:rFonts w:ascii="Arial" w:cs="Arial" w:eastAsia="Arial" w:hAnsi="Arial"/>
          <w:sz w:val="16"/>
          <w:szCs w:val="16"/>
          <w:color w:val="auto"/>
        </w:rPr>
        <w:t>Participants can elect to receive payments of their Deferred Compensation Plan balances in service or in lump sum or in one to 10 equal annual installments following termination from service. The executive officers and certain other executives cannot commence distribution until six months following termination to comply with tax laws.</w:t>
      </w:r>
    </w:p>
    <w:p>
      <w:pPr>
        <w:spacing w:after="0" w:line="198" w:lineRule="exact"/>
        <w:rPr>
          <w:sz w:val="20"/>
          <w:szCs w:val="20"/>
          <w:color w:val="auto"/>
        </w:rPr>
      </w:pPr>
    </w:p>
    <w:p>
      <w:pPr>
        <w:spacing w:after="0"/>
        <w:rPr>
          <w:sz w:val="20"/>
          <w:szCs w:val="20"/>
          <w:color w:val="auto"/>
        </w:rPr>
      </w:pPr>
      <w:r>
        <w:rPr>
          <w:rFonts w:ascii="Arial" w:cs="Arial" w:eastAsia="Arial" w:hAnsi="Arial"/>
          <w:sz w:val="35"/>
          <w:szCs w:val="35"/>
          <w:color w:val="009A4B"/>
        </w:rPr>
        <w:t>Potential Payments Upon Termination</w:t>
      </w:r>
    </w:p>
    <w:p>
      <w:pPr>
        <w:spacing w:after="0" w:line="227"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Potential payments to executive officers upon termination vary depending on the exact nature of the termination and, generally, whether the executive officer is retirement eligible at the time of the termination. Retirement eligibility for U.S. employees, including the executive officers except Mr. Ghasemi, generally occurs upon the attainment of age 55 after completing at least five years of service with the Company. Mr. Ghasemi’s Employment Agreement provides that he is eligible for retirement treatment under all equity, equity derivative and incentive awards after three years of employment with the Company. Accordingly, he became eligible for retirement on July 1, 2017. The following discussion explains potential payments to the executive officers under various termination scenarios.</w:t>
      </w:r>
    </w:p>
    <w:p>
      <w:pPr>
        <w:spacing w:after="0" w:line="198" w:lineRule="exact"/>
        <w:rPr>
          <w:sz w:val="20"/>
          <w:szCs w:val="20"/>
          <w:color w:val="auto"/>
        </w:rPr>
      </w:pPr>
    </w:p>
    <w:p>
      <w:pPr>
        <w:spacing w:after="0"/>
        <w:rPr>
          <w:sz w:val="20"/>
          <w:szCs w:val="20"/>
          <w:color w:val="auto"/>
        </w:rPr>
      </w:pPr>
      <w:r>
        <w:rPr>
          <w:rFonts w:ascii="Arial" w:cs="Arial" w:eastAsia="Arial" w:hAnsi="Arial"/>
          <w:sz w:val="28"/>
          <w:szCs w:val="28"/>
          <w:color w:val="009A4B"/>
        </w:rPr>
        <w:t>Voluntary Termination Other Than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225" cy="17145"/>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36" w:lineRule="exact"/>
        <w:rPr>
          <w:sz w:val="20"/>
          <w:szCs w:val="20"/>
          <w:color w:val="auto"/>
        </w:rPr>
      </w:pPr>
    </w:p>
    <w:p>
      <w:pPr>
        <w:ind w:right="120"/>
        <w:spacing w:after="0" w:line="245" w:lineRule="auto"/>
        <w:rPr>
          <w:sz w:val="20"/>
          <w:szCs w:val="20"/>
          <w:color w:val="auto"/>
        </w:rPr>
      </w:pPr>
      <w:r>
        <w:rPr>
          <w:rFonts w:ascii="Arial" w:cs="Arial" w:eastAsia="Arial" w:hAnsi="Arial"/>
          <w:sz w:val="16"/>
          <w:szCs w:val="16"/>
          <w:color w:val="auto"/>
        </w:rPr>
        <w:t>A voluntary termination by Mr. Ghasemi and Mr. Crocco is regarded as a retirement, as discussed below. If Ms. Schaeffer, Mr. Major or Dr. Serhan voluntarily terminated employment with the Company prior to retirement eligibility, like all salaried employees of the Company, they would receive any unpaid salary and accrued vacation, vested RSP balances and nonqualified deferred compensation shown in the table on page 53 and the earnings thereon. Mr. Crocco retired from the Company on September 30, 2021 and therefore he may commence receiving accrued benefits under the qualified plan and will commence receiving accrued benefits under the nonqualified pension plan described on pages 53-54 on the same terms as all other participants under these plans who were eligible for retirement at the time of termination.</w:t>
      </w:r>
    </w:p>
    <w:p>
      <w:pPr>
        <w:spacing w:after="0" w:line="151" w:lineRule="exact"/>
        <w:rPr>
          <w:sz w:val="20"/>
          <w:szCs w:val="20"/>
          <w:color w:val="auto"/>
        </w:rPr>
      </w:pPr>
    </w:p>
    <w:p>
      <w:pPr>
        <w:ind w:right="100"/>
        <w:spacing w:after="0" w:line="245" w:lineRule="auto"/>
        <w:rPr>
          <w:sz w:val="20"/>
          <w:szCs w:val="20"/>
          <w:color w:val="auto"/>
        </w:rPr>
      </w:pPr>
      <w:r>
        <w:rPr>
          <w:rFonts w:ascii="Arial" w:cs="Arial" w:eastAsia="Arial" w:hAnsi="Arial"/>
          <w:sz w:val="16"/>
          <w:szCs w:val="16"/>
          <w:color w:val="auto"/>
        </w:rPr>
        <w:t>Executive officers and other eligible employees generally must remain employed until the last day of the fiscal year to receive an Annual Incentive Plan award for the fiscal year. However, if an executive officer is retirement eligible, upon voluntary termination his or her bonus would be prorated at the discretion of the Committee. If an executive officer voluntarily terminates, he or she would forfeit any Annual Incentive Plan award for the fiscal year of termination unless the termination is on the last day of such fiscal year. If an executive officer voluntarily terminated on September 30, 2021, he or she would have been eligible for a fiscal 2021 Annual Incentive Plan award in an amount, if any, determined by the Committee in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95885</wp:posOffset>
            </wp:positionV>
            <wp:extent cx="845185" cy="202565"/>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845185" cy="20256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7155180" cy="20955"/>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right="220"/>
        <w:spacing w:after="0" w:line="248" w:lineRule="auto"/>
        <w:rPr>
          <w:sz w:val="20"/>
          <w:szCs w:val="20"/>
          <w:color w:val="auto"/>
        </w:rPr>
      </w:pPr>
      <w:r>
        <w:rPr>
          <w:rFonts w:ascii="Arial" w:cs="Arial" w:eastAsia="Arial" w:hAnsi="Arial"/>
          <w:sz w:val="16"/>
          <w:szCs w:val="16"/>
          <w:color w:val="auto"/>
        </w:rPr>
        <w:t>Most outstanding awards under the Long-Term Incentive Plan would be forfeited upon a voluntary termination prior to retirement eligibility, including all unexercisable stock options, all RSUs and all performance shares, whether or not earned. Exercisable stock options would continue to be exercisable for 90 days following termination and then, if unexercised, would be forfeited.</w:t>
      </w:r>
    </w:p>
    <w:p>
      <w:pPr>
        <w:spacing w:after="0" w:line="196" w:lineRule="exact"/>
        <w:rPr>
          <w:sz w:val="20"/>
          <w:szCs w:val="20"/>
          <w:color w:val="auto"/>
        </w:rPr>
      </w:pPr>
    </w:p>
    <w:p>
      <w:pPr>
        <w:spacing w:after="0"/>
        <w:rPr>
          <w:sz w:val="20"/>
          <w:szCs w:val="20"/>
          <w:color w:val="auto"/>
        </w:rPr>
      </w:pPr>
      <w:r>
        <w:rPr>
          <w:rFonts w:ascii="Arial" w:cs="Arial" w:eastAsia="Arial" w:hAnsi="Arial"/>
          <w:sz w:val="28"/>
          <w:szCs w:val="28"/>
          <w:color w:val="009A4B"/>
        </w:rPr>
        <w:t>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225" cy="17145"/>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36" w:lineRule="exact"/>
        <w:rPr>
          <w:sz w:val="20"/>
          <w:szCs w:val="20"/>
          <w:color w:val="auto"/>
        </w:rPr>
      </w:pPr>
    </w:p>
    <w:p>
      <w:pPr>
        <w:ind w:right="260"/>
        <w:spacing w:after="0" w:line="245" w:lineRule="auto"/>
        <w:rPr>
          <w:sz w:val="20"/>
          <w:szCs w:val="20"/>
          <w:color w:val="auto"/>
        </w:rPr>
      </w:pPr>
      <w:r>
        <w:rPr>
          <w:rFonts w:ascii="Arial" w:cs="Arial" w:eastAsia="Arial" w:hAnsi="Arial"/>
          <w:sz w:val="16"/>
          <w:szCs w:val="16"/>
          <w:color w:val="auto"/>
        </w:rPr>
        <w:t>Upon retirement, executive officers are entitled to unpaid salary and accrued vacation, accrued qualified and nonqualified pension benefits, vested RSP balances and deferred compensation described above and retiree medical benefits, if they are eligible, on the same terms as for all salaried employees meeting age and service conditions. Retiring executive officers may also receive, at the discretion of the Committee, an Annual Incentive Plan award for the year of retirement. In addition, like all Long-Term Incentive Plan participants, they receive the following treatment of their outstanding long-term incentive awards:</w:t>
      </w:r>
    </w:p>
    <w:p>
      <w:pPr>
        <w:spacing w:after="0" w:line="152" w:lineRule="exact"/>
        <w:rPr>
          <w:sz w:val="20"/>
          <w:szCs w:val="20"/>
          <w:color w:val="auto"/>
        </w:rPr>
      </w:pPr>
    </w:p>
    <w:p>
      <w:pPr>
        <w:ind w:left="440" w:right="220" w:hanging="247"/>
        <w:spacing w:after="0" w:line="254" w:lineRule="auto"/>
        <w:tabs>
          <w:tab w:leader="none" w:pos="440" w:val="left"/>
        </w:tabs>
        <w:numPr>
          <w:ilvl w:val="0"/>
          <w:numId w:val="63"/>
        </w:numPr>
        <w:rPr>
          <w:rFonts w:ascii="Arial" w:cs="Arial" w:eastAsia="Arial" w:hAnsi="Arial"/>
          <w:sz w:val="16"/>
          <w:szCs w:val="16"/>
          <w:color w:val="009A4B"/>
        </w:rPr>
      </w:pPr>
      <w:r>
        <w:rPr>
          <w:rFonts w:ascii="Arial" w:cs="Arial" w:eastAsia="Arial" w:hAnsi="Arial"/>
          <w:sz w:val="16"/>
          <w:szCs w:val="16"/>
          <w:color w:val="auto"/>
        </w:rPr>
        <w:t>all outstanding stock options that were granted one year or more prior to retirement will continue to be and become exercisable in accordance with the normal schedule as if the executive officer remained employed and will be exercisable for the normal term;</w:t>
      </w:r>
    </w:p>
    <w:p>
      <w:pPr>
        <w:spacing w:after="0" w:line="89" w:lineRule="exact"/>
        <w:rPr>
          <w:rFonts w:ascii="Arial" w:cs="Arial" w:eastAsia="Arial" w:hAnsi="Arial"/>
          <w:sz w:val="16"/>
          <w:szCs w:val="16"/>
          <w:color w:val="009A4B"/>
        </w:rPr>
      </w:pPr>
    </w:p>
    <w:p>
      <w:pPr>
        <w:ind w:left="440" w:right="260" w:hanging="247"/>
        <w:spacing w:after="0" w:line="254" w:lineRule="auto"/>
        <w:tabs>
          <w:tab w:leader="none" w:pos="440" w:val="left"/>
        </w:tabs>
        <w:numPr>
          <w:ilvl w:val="0"/>
          <w:numId w:val="63"/>
        </w:numPr>
        <w:rPr>
          <w:rFonts w:ascii="Arial" w:cs="Arial" w:eastAsia="Arial" w:hAnsi="Arial"/>
          <w:sz w:val="16"/>
          <w:szCs w:val="16"/>
          <w:color w:val="009A4B"/>
        </w:rPr>
      </w:pPr>
      <w:r>
        <w:rPr>
          <w:rFonts w:ascii="Arial" w:cs="Arial" w:eastAsia="Arial" w:hAnsi="Arial"/>
          <w:sz w:val="16"/>
          <w:szCs w:val="16"/>
          <w:color w:val="auto"/>
        </w:rPr>
        <w:t>RSUs awarded at least one year prior to retirement will vest immediately upon retirement and RSUs granted less than one year prior to retirement are forfeited; and</w:t>
      </w:r>
    </w:p>
    <w:p>
      <w:pPr>
        <w:spacing w:after="0" w:line="89" w:lineRule="exact"/>
        <w:rPr>
          <w:rFonts w:ascii="Arial" w:cs="Arial" w:eastAsia="Arial" w:hAnsi="Arial"/>
          <w:sz w:val="16"/>
          <w:szCs w:val="16"/>
          <w:color w:val="009A4B"/>
        </w:rPr>
      </w:pPr>
    </w:p>
    <w:p>
      <w:pPr>
        <w:ind w:left="440" w:right="20" w:hanging="247"/>
        <w:spacing w:after="0" w:line="248" w:lineRule="auto"/>
        <w:tabs>
          <w:tab w:leader="none" w:pos="440" w:val="left"/>
        </w:tabs>
        <w:numPr>
          <w:ilvl w:val="0"/>
          <w:numId w:val="63"/>
        </w:numPr>
        <w:rPr>
          <w:rFonts w:ascii="Arial" w:cs="Arial" w:eastAsia="Arial" w:hAnsi="Arial"/>
          <w:sz w:val="16"/>
          <w:szCs w:val="16"/>
          <w:color w:val="009A4B"/>
        </w:rPr>
      </w:pPr>
      <w:r>
        <w:rPr>
          <w:rFonts w:ascii="Arial" w:cs="Arial" w:eastAsia="Arial" w:hAnsi="Arial"/>
          <w:sz w:val="16"/>
          <w:szCs w:val="16"/>
          <w:color w:val="auto"/>
        </w:rPr>
        <w:t>all earned performance shares and dividend equivalents thereon will be paid on the normal schedule. A pro-rata portion of unearned performance shares awarded at least one year prior to retirement and associated dividend equivalents will be paid in accordance with the normal schedule and at the normal payout level if performance thresholds are met. Performance shares awarded less than one year prior to retirement are forfeited.</w:t>
      </w:r>
    </w:p>
    <w:p>
      <w:pPr>
        <w:spacing w:after="0" w:line="148"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The table below shows the value of Mr. Ghasemi’s outstanding long-term incentive awards that would have vested had he retired as of September 30, 2021 and the value of awards that would have been forfeited. Amounts are based on the closing price of a share of Company stock as of September 30, 2021. Other executive officers were not eligible for retirement on September 30, 2021. For Mr. Crocco, the table shows the value of Mr. Crocco’s outstanding long-term incentive awards that vested upon his retirement on September 30, 2021 and the value of the awards he forfeited upon his retirement.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vMerge w:val="restart"/>
          </w:tcPr>
          <w:p>
            <w:pPr>
              <w:jc w:val="right"/>
              <w:ind w:right="27"/>
              <w:spacing w:after="0"/>
              <w:rPr>
                <w:sz w:val="20"/>
                <w:szCs w:val="20"/>
                <w:color w:val="auto"/>
              </w:rPr>
            </w:pPr>
            <w:r>
              <w:rPr>
                <w:rFonts w:ascii="Arial" w:cs="Arial" w:eastAsia="Arial" w:hAnsi="Arial"/>
                <w:sz w:val="14"/>
                <w:szCs w:val="14"/>
                <w:b w:val="1"/>
                <w:bCs w:val="1"/>
                <w:color w:val="auto"/>
              </w:rPr>
              <w:t>Performance</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46"/>
        </w:trPr>
        <w:tc>
          <w:tcPr>
            <w:tcW w:w="3840" w:type="dxa"/>
            <w:vAlign w:val="bottom"/>
          </w:tcPr>
          <w:p>
            <w:pPr>
              <w:spacing w:after="0"/>
              <w:rPr>
                <w:sz w:val="12"/>
                <w:szCs w:val="12"/>
                <w:color w:val="auto"/>
              </w:rPr>
            </w:pPr>
          </w:p>
        </w:tc>
        <w:tc>
          <w:tcPr>
            <w:tcW w:w="3440" w:type="dxa"/>
            <w:vAlign w:val="bottom"/>
          </w:tcPr>
          <w:p>
            <w:pPr>
              <w:jc w:val="right"/>
              <w:ind w:right="45"/>
              <w:spacing w:after="0" w:line="147" w:lineRule="exact"/>
              <w:rPr>
                <w:sz w:val="20"/>
                <w:szCs w:val="20"/>
                <w:color w:val="auto"/>
              </w:rPr>
            </w:pPr>
            <w:r>
              <w:rPr>
                <w:rFonts w:ascii="Arial" w:cs="Arial" w:eastAsia="Arial" w:hAnsi="Arial"/>
                <w:sz w:val="14"/>
                <w:szCs w:val="14"/>
                <w:b w:val="1"/>
                <w:bCs w:val="1"/>
                <w:color w:val="auto"/>
              </w:rPr>
              <w:t>Unvested</w:t>
            </w:r>
          </w:p>
        </w:tc>
        <w:tc>
          <w:tcPr>
            <w:tcW w:w="900" w:type="dxa"/>
            <w:vAlign w:val="bottom"/>
          </w:tcPr>
          <w:p>
            <w:pPr>
              <w:jc w:val="right"/>
              <w:ind w:right="25"/>
              <w:spacing w:after="0" w:line="147" w:lineRule="exact"/>
              <w:rPr>
                <w:sz w:val="20"/>
                <w:szCs w:val="20"/>
                <w:color w:val="auto"/>
              </w:rPr>
            </w:pPr>
            <w:r>
              <w:rPr>
                <w:rFonts w:ascii="Arial" w:cs="Arial" w:eastAsia="Arial" w:hAnsi="Arial"/>
                <w:sz w:val="14"/>
                <w:szCs w:val="14"/>
                <w:b w:val="1"/>
                <w:bCs w:val="1"/>
                <w:color w:val="auto"/>
              </w:rPr>
              <w:t>Restricted</w:t>
            </w:r>
          </w:p>
        </w:tc>
        <w:tc>
          <w:tcPr>
            <w:tcW w:w="1020" w:type="dxa"/>
            <w:vAlign w:val="bottom"/>
          </w:tcPr>
          <w:p>
            <w:pPr>
              <w:jc w:val="right"/>
              <w:ind w:right="45"/>
              <w:spacing w:after="0" w:line="147" w:lineRule="exact"/>
              <w:rPr>
                <w:sz w:val="20"/>
                <w:szCs w:val="20"/>
                <w:color w:val="auto"/>
              </w:rPr>
            </w:pPr>
            <w:r>
              <w:rPr>
                <w:rFonts w:ascii="Arial" w:cs="Arial" w:eastAsia="Arial" w:hAnsi="Arial"/>
                <w:sz w:val="14"/>
                <w:szCs w:val="14"/>
                <w:b w:val="1"/>
                <w:bCs w:val="1"/>
                <w:color w:val="auto"/>
              </w:rPr>
              <w:t>Restricted</w:t>
            </w:r>
          </w:p>
        </w:tc>
        <w:tc>
          <w:tcPr>
            <w:tcW w:w="1060" w:type="dxa"/>
            <w:vAlign w:val="bottom"/>
            <w:vMerge w:val="continue"/>
          </w:tcPr>
          <w:p>
            <w:pPr>
              <w:spacing w:after="0"/>
              <w:rPr>
                <w:sz w:val="12"/>
                <w:szCs w:val="12"/>
                <w:color w:val="auto"/>
              </w:rPr>
            </w:pPr>
          </w:p>
        </w:tc>
        <w:tc>
          <w:tcPr>
            <w:tcW w:w="98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3440" w:type="dxa"/>
            <w:vAlign w:val="bottom"/>
          </w:tcPr>
          <w:p>
            <w:pPr>
              <w:jc w:val="right"/>
              <w:ind w:right="45"/>
              <w:spacing w:after="0"/>
              <w:rPr>
                <w:sz w:val="20"/>
                <w:szCs w:val="20"/>
                <w:color w:val="auto"/>
              </w:rPr>
            </w:pPr>
            <w:r>
              <w:rPr>
                <w:rFonts w:ascii="Arial" w:cs="Arial" w:eastAsia="Arial" w:hAnsi="Arial"/>
                <w:sz w:val="14"/>
                <w:szCs w:val="14"/>
                <w:b w:val="1"/>
                <w:bCs w:val="1"/>
                <w:color w:val="auto"/>
              </w:rPr>
              <w:t>Stock Options</w:t>
            </w:r>
          </w:p>
        </w:tc>
        <w:tc>
          <w:tcPr>
            <w:tcW w:w="900" w:type="dxa"/>
            <w:vAlign w:val="bottom"/>
          </w:tcPr>
          <w:p>
            <w:pPr>
              <w:jc w:val="right"/>
              <w:ind w:right="25"/>
              <w:spacing w:after="0"/>
              <w:rPr>
                <w:sz w:val="20"/>
                <w:szCs w:val="20"/>
                <w:color w:val="auto"/>
              </w:rPr>
            </w:pPr>
            <w:r>
              <w:rPr>
                <w:rFonts w:ascii="Arial" w:cs="Arial" w:eastAsia="Arial" w:hAnsi="Arial"/>
                <w:sz w:val="14"/>
                <w:szCs w:val="14"/>
                <w:b w:val="1"/>
                <w:bCs w:val="1"/>
                <w:color w:val="auto"/>
              </w:rPr>
              <w:t>Stock</w:t>
            </w:r>
          </w:p>
        </w:tc>
        <w:tc>
          <w:tcPr>
            <w:tcW w:w="1020" w:type="dxa"/>
            <w:vAlign w:val="bottom"/>
          </w:tcPr>
          <w:p>
            <w:pPr>
              <w:jc w:val="right"/>
              <w:ind w:right="45"/>
              <w:spacing w:after="0"/>
              <w:rPr>
                <w:sz w:val="20"/>
                <w:szCs w:val="20"/>
                <w:color w:val="auto"/>
              </w:rPr>
            </w:pPr>
            <w:r>
              <w:rPr>
                <w:rFonts w:ascii="Arial" w:cs="Arial" w:eastAsia="Arial" w:hAnsi="Arial"/>
                <w:sz w:val="14"/>
                <w:szCs w:val="14"/>
                <w:b w:val="1"/>
                <w:bCs w:val="1"/>
                <w:color w:val="auto"/>
              </w:rPr>
              <w:t>Stock Units</w:t>
            </w:r>
          </w:p>
        </w:tc>
        <w:tc>
          <w:tcPr>
            <w:tcW w:w="1060" w:type="dxa"/>
            <w:vAlign w:val="bottom"/>
          </w:tcPr>
          <w:p>
            <w:pPr>
              <w:jc w:val="right"/>
              <w:ind w:right="27"/>
              <w:spacing w:after="0" w:line="173" w:lineRule="exact"/>
              <w:rPr>
                <w:sz w:val="20"/>
                <w:szCs w:val="20"/>
                <w:color w:val="auto"/>
              </w:rPr>
            </w:pPr>
            <w:r>
              <w:rPr>
                <w:rFonts w:ascii="Arial" w:cs="Arial" w:eastAsia="Arial" w:hAnsi="Arial"/>
                <w:sz w:val="13"/>
                <w:szCs w:val="13"/>
                <w:b w:val="1"/>
                <w:bCs w:val="1"/>
                <w:color w:val="auto"/>
              </w:rPr>
              <w:t>Shares</w:t>
            </w:r>
            <w:r>
              <w:rPr>
                <w:rFonts w:ascii="Arial" w:cs="Arial" w:eastAsia="Arial" w:hAnsi="Arial"/>
                <w:sz w:val="20"/>
                <w:szCs w:val="20"/>
                <w:b w:val="1"/>
                <w:bCs w:val="1"/>
                <w:color w:val="auto"/>
                <w:vertAlign w:val="superscript"/>
              </w:rPr>
              <w:t>(1)</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Forfeited</w:t>
            </w:r>
          </w:p>
        </w:tc>
        <w:tc>
          <w:tcPr>
            <w:tcW w:w="0" w:type="dxa"/>
            <w:vAlign w:val="bottom"/>
          </w:tcPr>
          <w:p>
            <w:pPr>
              <w:spacing w:after="0"/>
              <w:rPr>
                <w:sz w:val="1"/>
                <w:szCs w:val="1"/>
                <w:color w:val="auto"/>
              </w:rPr>
            </w:pPr>
          </w:p>
        </w:tc>
      </w:tr>
      <w:tr>
        <w:trPr>
          <w:trHeight w:val="206"/>
        </w:trPr>
        <w:tc>
          <w:tcPr>
            <w:tcW w:w="3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Officer</w:t>
            </w:r>
          </w:p>
        </w:tc>
        <w:tc>
          <w:tcPr>
            <w:tcW w:w="344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3"/>
        </w:trPr>
        <w:tc>
          <w:tcPr>
            <w:tcW w:w="3840" w:type="dxa"/>
            <w:vAlign w:val="bottom"/>
            <w:tcBorders>
              <w:bottom w:val="single" w:sz="8" w:color="949599"/>
            </w:tcBorders>
          </w:tcPr>
          <w:p>
            <w:pPr>
              <w:ind w:left="80"/>
              <w:spacing w:after="0"/>
              <w:rPr>
                <w:sz w:val="20"/>
                <w:szCs w:val="20"/>
                <w:color w:val="auto"/>
              </w:rPr>
            </w:pPr>
            <w:r>
              <w:rPr>
                <w:rFonts w:ascii="Arial" w:cs="Arial" w:eastAsia="Arial" w:hAnsi="Arial"/>
                <w:sz w:val="16"/>
                <w:szCs w:val="16"/>
                <w:b w:val="1"/>
                <w:bCs w:val="1"/>
                <w:color w:val="009A4B"/>
              </w:rPr>
              <w:t>Seifi Ghasemi</w:t>
            </w:r>
          </w:p>
        </w:tc>
        <w:tc>
          <w:tcPr>
            <w:tcW w:w="3440" w:type="dxa"/>
            <w:vAlign w:val="bottom"/>
            <w:tcBorders>
              <w:bottom w:val="single" w:sz="8" w:color="949599"/>
            </w:tcBorders>
          </w:tcPr>
          <w:p>
            <w:pPr>
              <w:jc w:val="right"/>
              <w:ind w:right="45"/>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949599"/>
            </w:tcBorders>
          </w:tcPr>
          <w:p>
            <w:pPr>
              <w:jc w:val="right"/>
              <w:ind w:right="25"/>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949599"/>
            </w:tcBorders>
          </w:tcPr>
          <w:p>
            <w:pPr>
              <w:jc w:val="right"/>
              <w:ind w:right="45"/>
              <w:spacing w:after="0"/>
              <w:rPr>
                <w:sz w:val="20"/>
                <w:szCs w:val="20"/>
                <w:color w:val="auto"/>
              </w:rPr>
            </w:pPr>
            <w:r>
              <w:rPr>
                <w:rFonts w:ascii="Arial" w:cs="Arial" w:eastAsia="Arial" w:hAnsi="Arial"/>
                <w:sz w:val="16"/>
                <w:szCs w:val="16"/>
                <w:color w:val="auto"/>
              </w:rPr>
              <w:t>17,020,008</w:t>
            </w:r>
          </w:p>
        </w:tc>
        <w:tc>
          <w:tcPr>
            <w:tcW w:w="1060" w:type="dxa"/>
            <w:vAlign w:val="bottom"/>
            <w:tcBorders>
              <w:bottom w:val="single" w:sz="8" w:color="949599"/>
            </w:tcBorders>
          </w:tcPr>
          <w:p>
            <w:pPr>
              <w:jc w:val="right"/>
              <w:ind w:right="27"/>
              <w:spacing w:after="0"/>
              <w:rPr>
                <w:sz w:val="20"/>
                <w:szCs w:val="20"/>
                <w:color w:val="auto"/>
              </w:rPr>
            </w:pPr>
            <w:r>
              <w:rPr>
                <w:rFonts w:ascii="Arial" w:cs="Arial" w:eastAsia="Arial" w:hAnsi="Arial"/>
                <w:sz w:val="16"/>
                <w:szCs w:val="16"/>
                <w:color w:val="auto"/>
              </w:rPr>
              <w:t>20,867,482</w:t>
            </w:r>
          </w:p>
        </w:tc>
        <w:tc>
          <w:tcPr>
            <w:tcW w:w="98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12,702,736</w:t>
            </w:r>
          </w:p>
        </w:tc>
        <w:tc>
          <w:tcPr>
            <w:tcW w:w="0" w:type="dxa"/>
            <w:vAlign w:val="bottom"/>
          </w:tcPr>
          <w:p>
            <w:pPr>
              <w:spacing w:after="0"/>
              <w:rPr>
                <w:sz w:val="1"/>
                <w:szCs w:val="1"/>
                <w:color w:val="auto"/>
              </w:rPr>
            </w:pPr>
          </w:p>
        </w:tc>
      </w:tr>
      <w:tr>
        <w:trPr>
          <w:trHeight w:val="286"/>
        </w:trPr>
        <w:tc>
          <w:tcPr>
            <w:tcW w:w="3840" w:type="dxa"/>
            <w:vAlign w:val="bottom"/>
            <w:tcBorders>
              <w:bottom w:val="single" w:sz="8" w:color="auto"/>
            </w:tcBorders>
          </w:tcPr>
          <w:p>
            <w:pPr>
              <w:ind w:left="80"/>
              <w:spacing w:after="0" w:line="280" w:lineRule="exact"/>
              <w:rPr>
                <w:sz w:val="20"/>
                <w:szCs w:val="20"/>
                <w:color w:val="auto"/>
              </w:rPr>
            </w:pPr>
            <w:r>
              <w:rPr>
                <w:rFonts w:ascii="Arial" w:cs="Arial" w:eastAsia="Arial" w:hAnsi="Arial"/>
                <w:sz w:val="16"/>
                <w:szCs w:val="16"/>
                <w:b w:val="1"/>
                <w:bCs w:val="1"/>
                <w:color w:val="009A4B"/>
              </w:rPr>
              <w:t>M. Scott Crocco</w:t>
            </w:r>
            <w:r>
              <w:rPr>
                <w:rFonts w:ascii="Arial" w:cs="Arial" w:eastAsia="Arial" w:hAnsi="Arial"/>
                <w:sz w:val="26"/>
                <w:szCs w:val="26"/>
                <w:b w:val="1"/>
                <w:bCs w:val="1"/>
                <w:color w:val="009A4B"/>
                <w:vertAlign w:val="superscript"/>
              </w:rPr>
              <w:t>(2)</w:t>
            </w:r>
          </w:p>
        </w:tc>
        <w:tc>
          <w:tcPr>
            <w:tcW w:w="34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3,065,956</w:t>
            </w:r>
          </w:p>
        </w:tc>
        <w:tc>
          <w:tcPr>
            <w:tcW w:w="1060" w:type="dxa"/>
            <w:vAlign w:val="bottom"/>
            <w:tcBorders>
              <w:bottom w:val="single" w:sz="8" w:color="auto"/>
            </w:tcBorders>
          </w:tcPr>
          <w:p>
            <w:pPr>
              <w:jc w:val="right"/>
              <w:ind w:right="27"/>
              <w:spacing w:after="0"/>
              <w:rPr>
                <w:sz w:val="20"/>
                <w:szCs w:val="20"/>
                <w:color w:val="auto"/>
              </w:rPr>
            </w:pPr>
            <w:r>
              <w:rPr>
                <w:rFonts w:ascii="Arial" w:cs="Arial" w:eastAsia="Arial" w:hAnsi="Arial"/>
                <w:sz w:val="16"/>
                <w:szCs w:val="16"/>
                <w:color w:val="auto"/>
              </w:rPr>
              <w:t>3,547,281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1,997,417</w:t>
            </w: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300" w:right="400" w:hanging="294"/>
        <w:spacing w:after="0" w:line="181" w:lineRule="auto"/>
        <w:tabs>
          <w:tab w:leader="none" w:pos="300" w:val="left"/>
        </w:tabs>
        <w:numPr>
          <w:ilvl w:val="0"/>
          <w:numId w:val="64"/>
        </w:numPr>
        <w:rPr>
          <w:rFonts w:ascii="Arial" w:cs="Arial" w:eastAsia="Arial" w:hAnsi="Arial"/>
          <w:sz w:val="24"/>
          <w:szCs w:val="24"/>
          <w:color w:val="auto"/>
          <w:vertAlign w:val="superscript"/>
        </w:rPr>
      </w:pPr>
      <w:r>
        <w:rPr>
          <w:rFonts w:ascii="Arial" w:cs="Arial" w:eastAsia="Arial" w:hAnsi="Arial"/>
          <w:sz w:val="14"/>
          <w:szCs w:val="14"/>
          <w:color w:val="auto"/>
        </w:rPr>
        <w:t>Actual payout amounts are shown for Performance Shares granted in fiscal 2019. Fiscal 2020 and fiscal 2021 Performance Shares are shown at the target payout level. Amounts include accumulated dividend equivalents. The fiscal 2021 grant and prorated portion of the fiscal 2020 grant would be forfeited.</w:t>
      </w:r>
    </w:p>
    <w:p>
      <w:pPr>
        <w:spacing w:after="0" w:line="96" w:lineRule="exact"/>
        <w:rPr>
          <w:rFonts w:ascii="Arial" w:cs="Arial" w:eastAsia="Arial" w:hAnsi="Arial"/>
          <w:sz w:val="24"/>
          <w:szCs w:val="24"/>
          <w:color w:val="auto"/>
          <w:vertAlign w:val="superscript"/>
        </w:rPr>
      </w:pPr>
    </w:p>
    <w:p>
      <w:pPr>
        <w:ind w:left="300" w:right="560" w:hanging="294"/>
        <w:spacing w:after="0" w:line="181" w:lineRule="auto"/>
        <w:tabs>
          <w:tab w:leader="none" w:pos="300" w:val="left"/>
        </w:tabs>
        <w:numPr>
          <w:ilvl w:val="0"/>
          <w:numId w:val="64"/>
        </w:numPr>
        <w:rPr>
          <w:rFonts w:ascii="Arial" w:cs="Arial" w:eastAsia="Arial" w:hAnsi="Arial"/>
          <w:sz w:val="24"/>
          <w:szCs w:val="24"/>
          <w:color w:val="auto"/>
          <w:vertAlign w:val="superscript"/>
        </w:rPr>
      </w:pPr>
      <w:r>
        <w:rPr>
          <w:rFonts w:ascii="Arial" w:cs="Arial" w:eastAsia="Arial" w:hAnsi="Arial"/>
          <w:sz w:val="14"/>
          <w:szCs w:val="14"/>
          <w:color w:val="auto"/>
        </w:rPr>
        <w:t>Mr. Crocco retired from the Company on September 30, 2021. The amount in the “Value of Shares Forfeited” column represents the actual value of shares forfeited in connection with his retirement.</w:t>
      </w:r>
    </w:p>
    <w:p>
      <w:pPr>
        <w:spacing w:after="0" w:line="194" w:lineRule="exact"/>
        <w:rPr>
          <w:sz w:val="20"/>
          <w:szCs w:val="20"/>
          <w:color w:val="auto"/>
        </w:rPr>
      </w:pPr>
    </w:p>
    <w:p>
      <w:pPr>
        <w:spacing w:after="0"/>
        <w:rPr>
          <w:sz w:val="20"/>
          <w:szCs w:val="20"/>
          <w:color w:val="auto"/>
        </w:rPr>
      </w:pPr>
      <w:r>
        <w:rPr>
          <w:rFonts w:ascii="Arial" w:cs="Arial" w:eastAsia="Arial" w:hAnsi="Arial"/>
          <w:sz w:val="28"/>
          <w:szCs w:val="28"/>
          <w:color w:val="009A4B"/>
        </w:rPr>
        <w:t>Executive Separation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225" cy="17145"/>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36" w:lineRule="exact"/>
        <w:rPr>
          <w:sz w:val="20"/>
          <w:szCs w:val="20"/>
          <w:color w:val="auto"/>
        </w:rPr>
      </w:pPr>
    </w:p>
    <w:p>
      <w:pPr>
        <w:ind w:right="80"/>
        <w:spacing w:after="0" w:line="245" w:lineRule="auto"/>
        <w:rPr>
          <w:sz w:val="20"/>
          <w:szCs w:val="20"/>
          <w:color w:val="auto"/>
        </w:rPr>
      </w:pPr>
      <w:r>
        <w:rPr>
          <w:rFonts w:ascii="Arial" w:cs="Arial" w:eastAsia="Arial" w:hAnsi="Arial"/>
          <w:sz w:val="16"/>
          <w:szCs w:val="16"/>
          <w:color w:val="auto"/>
        </w:rPr>
        <w:t>The Committee established the Executive Separation Program (the “Separation Program”) to facilitate changes in the leadership team and recruiting of senior executives. All the executive officers are covered by the Separation Program. An executive officer becomes eligible for program benefits upon involuntary termination of employment other than for “cause” or upon voluntary termination for “good reason.” A termination for “cause” occurs upon the executive officer’s failure to substantially perform his or her duties, willful misconduct, certain illegal acts, insubordination, dishonesty or violation of the Code of Conduct. “Good reason” includes:</w:t>
      </w:r>
    </w:p>
    <w:p>
      <w:pPr>
        <w:spacing w:after="0" w:line="152" w:lineRule="exact"/>
        <w:rPr>
          <w:sz w:val="20"/>
          <w:szCs w:val="20"/>
          <w:color w:val="auto"/>
        </w:rPr>
      </w:pPr>
    </w:p>
    <w:p>
      <w:pPr>
        <w:ind w:left="440" w:right="680" w:hanging="247"/>
        <w:spacing w:after="0" w:line="254" w:lineRule="auto"/>
        <w:tabs>
          <w:tab w:leader="none" w:pos="440" w:val="left"/>
        </w:tabs>
        <w:numPr>
          <w:ilvl w:val="0"/>
          <w:numId w:val="65"/>
        </w:numPr>
        <w:rPr>
          <w:rFonts w:ascii="Arial" w:cs="Arial" w:eastAsia="Arial" w:hAnsi="Arial"/>
          <w:sz w:val="16"/>
          <w:szCs w:val="16"/>
          <w:color w:val="009A4B"/>
        </w:rPr>
      </w:pPr>
      <w:r>
        <w:rPr>
          <w:rFonts w:ascii="Arial" w:cs="Arial" w:eastAsia="Arial" w:hAnsi="Arial"/>
          <w:sz w:val="16"/>
          <w:szCs w:val="16"/>
          <w:color w:val="auto"/>
        </w:rPr>
        <w:t>a material adverse change in the executive officer’s position, material diminution of duties or authority or assignment of duties or responsibilities inconsistent with his or her status;</w:t>
      </w:r>
    </w:p>
    <w:p>
      <w:pPr>
        <w:spacing w:after="0" w:line="89" w:lineRule="exact"/>
        <w:rPr>
          <w:rFonts w:ascii="Arial" w:cs="Arial" w:eastAsia="Arial" w:hAnsi="Arial"/>
          <w:sz w:val="16"/>
          <w:szCs w:val="16"/>
          <w:color w:val="009A4B"/>
        </w:rPr>
      </w:pPr>
    </w:p>
    <w:p>
      <w:pPr>
        <w:ind w:left="440" w:right="260" w:hanging="247"/>
        <w:spacing w:after="0" w:line="254" w:lineRule="auto"/>
        <w:tabs>
          <w:tab w:leader="none" w:pos="440" w:val="left"/>
        </w:tabs>
        <w:numPr>
          <w:ilvl w:val="0"/>
          <w:numId w:val="65"/>
        </w:numPr>
        <w:rPr>
          <w:rFonts w:ascii="Arial" w:cs="Arial" w:eastAsia="Arial" w:hAnsi="Arial"/>
          <w:sz w:val="16"/>
          <w:szCs w:val="16"/>
          <w:color w:val="009A4B"/>
        </w:rPr>
      </w:pPr>
      <w:r>
        <w:rPr>
          <w:rFonts w:ascii="Arial" w:cs="Arial" w:eastAsia="Arial" w:hAnsi="Arial"/>
          <w:sz w:val="16"/>
          <w:szCs w:val="16"/>
          <w:color w:val="auto"/>
        </w:rPr>
        <w:t>a decrease in the executive officer’s salary or a material reduction in benefits or annual incentive compensation opportunities if not similarly applied to other highly compensated employees; or</w:t>
      </w:r>
    </w:p>
    <w:p>
      <w:pPr>
        <w:spacing w:after="0" w:line="89" w:lineRule="exact"/>
        <w:rPr>
          <w:rFonts w:ascii="Arial" w:cs="Arial" w:eastAsia="Arial" w:hAnsi="Arial"/>
          <w:sz w:val="16"/>
          <w:szCs w:val="16"/>
          <w:color w:val="009A4B"/>
        </w:rPr>
      </w:pPr>
    </w:p>
    <w:p>
      <w:pPr>
        <w:ind w:left="440" w:hanging="247"/>
        <w:spacing w:after="0"/>
        <w:tabs>
          <w:tab w:leader="none" w:pos="440" w:val="left"/>
        </w:tabs>
        <w:numPr>
          <w:ilvl w:val="0"/>
          <w:numId w:val="65"/>
        </w:numPr>
        <w:rPr>
          <w:rFonts w:ascii="Arial" w:cs="Arial" w:eastAsia="Arial" w:hAnsi="Arial"/>
          <w:sz w:val="16"/>
          <w:szCs w:val="16"/>
          <w:color w:val="009A4B"/>
        </w:rPr>
      </w:pPr>
      <w:r>
        <w:rPr>
          <w:rFonts w:ascii="Arial" w:cs="Arial" w:eastAsia="Arial" w:hAnsi="Arial"/>
          <w:sz w:val="16"/>
          <w:szCs w:val="16"/>
          <w:color w:val="auto"/>
        </w:rPr>
        <w:t>a relocation of the executive officer’s principal workplace by more than 50 miles from its existing location.</w:t>
      </w:r>
    </w:p>
    <w:p>
      <w:pPr>
        <w:spacing w:after="0" w:line="14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7155180" cy="20955"/>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Benefits under the Separation Program are contingent upon the executive officer’s continuing to perform the duties typically related to his or her position (or such other position as the Board reasonably requests) until termination, and assistance in the identification, recruitment and transitioning of his or her successor. The executive officer also is required to sign a general release of claims against the Company and a two-year noncompetition, nonsolicitation and nondisparagement agreement. If all these requirements are met, the executive officer is entitled to cash benefits as follows:</w:t>
      </w:r>
    </w:p>
    <w:p>
      <w:pPr>
        <w:spacing w:after="0" w:line="151" w:lineRule="exact"/>
        <w:rPr>
          <w:sz w:val="20"/>
          <w:szCs w:val="20"/>
          <w:color w:val="auto"/>
        </w:rPr>
      </w:pPr>
    </w:p>
    <w:p>
      <w:pPr>
        <w:ind w:left="440" w:hanging="247"/>
        <w:spacing w:after="0" w:line="273" w:lineRule="auto"/>
        <w:tabs>
          <w:tab w:leader="none" w:pos="440" w:val="left"/>
        </w:tabs>
        <w:numPr>
          <w:ilvl w:val="0"/>
          <w:numId w:val="66"/>
        </w:numPr>
        <w:rPr>
          <w:rFonts w:ascii="Arial" w:cs="Arial" w:eastAsia="Arial" w:hAnsi="Arial"/>
          <w:sz w:val="15"/>
          <w:szCs w:val="15"/>
          <w:color w:val="009A4B"/>
        </w:rPr>
      </w:pPr>
      <w:r>
        <w:rPr>
          <w:rFonts w:ascii="Arial" w:cs="Arial" w:eastAsia="Arial" w:hAnsi="Arial"/>
          <w:sz w:val="15"/>
          <w:szCs w:val="15"/>
          <w:color w:val="auto"/>
        </w:rPr>
        <w:t>a cash severance payment of one times the executive officer’s annual base salary and the executive officer’s target bonus for the fiscal year in which the termination of employment occurs, provided that in the case of Mr. Ghasemi, the cash severance will be two times such amount and, if the termination occurs after September 30, 2023, the payment will be prorated based on the remaining term of his Employment Agreement through September 30, 2025;</w:t>
      </w:r>
    </w:p>
    <w:p>
      <w:pPr>
        <w:spacing w:after="0" w:line="76" w:lineRule="exact"/>
        <w:rPr>
          <w:rFonts w:ascii="Arial" w:cs="Arial" w:eastAsia="Arial" w:hAnsi="Arial"/>
          <w:sz w:val="15"/>
          <w:szCs w:val="15"/>
          <w:color w:val="009A4B"/>
        </w:rPr>
      </w:pPr>
    </w:p>
    <w:p>
      <w:pPr>
        <w:ind w:left="440" w:right="40" w:hanging="247"/>
        <w:spacing w:after="0" w:line="254" w:lineRule="auto"/>
        <w:tabs>
          <w:tab w:leader="none" w:pos="440" w:val="left"/>
        </w:tabs>
        <w:numPr>
          <w:ilvl w:val="0"/>
          <w:numId w:val="66"/>
        </w:numPr>
        <w:rPr>
          <w:rFonts w:ascii="Arial" w:cs="Arial" w:eastAsia="Arial" w:hAnsi="Arial"/>
          <w:sz w:val="16"/>
          <w:szCs w:val="16"/>
          <w:color w:val="009A4B"/>
        </w:rPr>
      </w:pPr>
      <w:r>
        <w:rPr>
          <w:rFonts w:ascii="Arial" w:cs="Arial" w:eastAsia="Arial" w:hAnsi="Arial"/>
          <w:sz w:val="16"/>
          <w:szCs w:val="16"/>
          <w:color w:val="auto"/>
        </w:rPr>
        <w:t>a bonus for the year of termination equal to a pro-rata portion of the executive officer’s target bonus multiplied by the Annual Incentive Plan payout factor for the fiscal year in which the termination of employment occurs;</w:t>
      </w:r>
    </w:p>
    <w:p>
      <w:pPr>
        <w:spacing w:after="0" w:line="89" w:lineRule="exact"/>
        <w:rPr>
          <w:rFonts w:ascii="Arial" w:cs="Arial" w:eastAsia="Arial" w:hAnsi="Arial"/>
          <w:sz w:val="16"/>
          <w:szCs w:val="16"/>
          <w:color w:val="009A4B"/>
        </w:rPr>
      </w:pPr>
    </w:p>
    <w:p>
      <w:pPr>
        <w:ind w:left="440" w:hanging="247"/>
        <w:spacing w:after="0"/>
        <w:tabs>
          <w:tab w:leader="none" w:pos="440" w:val="left"/>
        </w:tabs>
        <w:numPr>
          <w:ilvl w:val="0"/>
          <w:numId w:val="66"/>
        </w:numPr>
        <w:rPr>
          <w:rFonts w:ascii="Arial" w:cs="Arial" w:eastAsia="Arial" w:hAnsi="Arial"/>
          <w:sz w:val="16"/>
          <w:szCs w:val="16"/>
          <w:color w:val="009A4B"/>
        </w:rPr>
      </w:pPr>
      <w:r>
        <w:rPr>
          <w:rFonts w:ascii="Arial" w:cs="Arial" w:eastAsia="Arial" w:hAnsi="Arial"/>
          <w:sz w:val="16"/>
          <w:szCs w:val="16"/>
          <w:color w:val="auto"/>
        </w:rPr>
        <w:t>outplacement assistance; and</w:t>
      </w:r>
    </w:p>
    <w:p>
      <w:pPr>
        <w:spacing w:after="0" w:line="122" w:lineRule="exact"/>
        <w:rPr>
          <w:rFonts w:ascii="Arial" w:cs="Arial" w:eastAsia="Arial" w:hAnsi="Arial"/>
          <w:sz w:val="16"/>
          <w:szCs w:val="16"/>
          <w:color w:val="009A4B"/>
        </w:rPr>
      </w:pPr>
    </w:p>
    <w:p>
      <w:pPr>
        <w:ind w:left="440" w:right="60" w:hanging="247"/>
        <w:spacing w:after="0" w:line="245" w:lineRule="auto"/>
        <w:tabs>
          <w:tab w:leader="none" w:pos="440" w:val="left"/>
        </w:tabs>
        <w:numPr>
          <w:ilvl w:val="0"/>
          <w:numId w:val="66"/>
        </w:numPr>
        <w:rPr>
          <w:rFonts w:ascii="Arial" w:cs="Arial" w:eastAsia="Arial" w:hAnsi="Arial"/>
          <w:sz w:val="16"/>
          <w:szCs w:val="16"/>
          <w:color w:val="009A4B"/>
        </w:rPr>
      </w:pPr>
      <w:r>
        <w:rPr>
          <w:rFonts w:ascii="Arial" w:cs="Arial" w:eastAsia="Arial" w:hAnsi="Arial"/>
          <w:sz w:val="16"/>
          <w:szCs w:val="16"/>
          <w:color w:val="auto"/>
        </w:rPr>
        <w:t>for the executive officers who receive their primary retirement benefit under the RSP, a cash payment equal to the additional (nonmatching) contributions and credits each would have received under the RSP and the Deferred Compensation Plan, in the case of Mr. Ghasemi, had he remained employed an additional two years and, in the cases of Ms. Schaeffer, Mr. Major and Dr. Serhan, had she or he remained employed an additional year, assuming in each case that base salary remained the same and the Annual Incentive Plan award was the higher of his most recent award or the average of the last three awards.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Noncash benefits are also provided or maintained under the Separation Program as follows:</w:t>
      </w:r>
    </w:p>
    <w:p>
      <w:pPr>
        <w:spacing w:after="0" w:line="162" w:lineRule="exact"/>
        <w:rPr>
          <w:sz w:val="20"/>
          <w:szCs w:val="20"/>
          <w:color w:val="auto"/>
        </w:rPr>
      </w:pPr>
    </w:p>
    <w:p>
      <w:pPr>
        <w:ind w:left="440" w:right="80" w:hanging="247"/>
        <w:spacing w:after="0" w:line="248" w:lineRule="auto"/>
        <w:tabs>
          <w:tab w:leader="none" w:pos="440" w:val="left"/>
        </w:tabs>
        <w:numPr>
          <w:ilvl w:val="0"/>
          <w:numId w:val="67"/>
        </w:numPr>
        <w:rPr>
          <w:rFonts w:ascii="Arial" w:cs="Arial" w:eastAsia="Arial" w:hAnsi="Arial"/>
          <w:sz w:val="16"/>
          <w:szCs w:val="16"/>
          <w:color w:val="009A4B"/>
        </w:rPr>
      </w:pPr>
      <w:r>
        <w:rPr>
          <w:rFonts w:ascii="Arial" w:cs="Arial" w:eastAsia="Arial" w:hAnsi="Arial"/>
          <w:sz w:val="16"/>
          <w:szCs w:val="16"/>
          <w:color w:val="auto"/>
        </w:rPr>
        <w:t>The Company pays the cost of continued coverage under the Company’s medical and dental plans pursuant to the Consolidated Omnibus Budget Reconciliation Act of 1985 (“COBRA”) for executive officers and their dependents for one year following termination. Executive officers eligible for retiree medical benefits participate in the medical plan on the same basis as other eligible retirees at no incremental cost to the Company.</w:t>
      </w:r>
    </w:p>
    <w:p>
      <w:pPr>
        <w:spacing w:after="0" w:line="95" w:lineRule="exact"/>
        <w:rPr>
          <w:rFonts w:ascii="Arial" w:cs="Arial" w:eastAsia="Arial" w:hAnsi="Arial"/>
          <w:sz w:val="16"/>
          <w:szCs w:val="16"/>
          <w:color w:val="009A4B"/>
        </w:rPr>
      </w:pPr>
    </w:p>
    <w:p>
      <w:pPr>
        <w:ind w:left="440" w:right="180" w:hanging="247"/>
        <w:spacing w:after="0" w:line="254" w:lineRule="auto"/>
        <w:tabs>
          <w:tab w:leader="none" w:pos="440" w:val="left"/>
        </w:tabs>
        <w:numPr>
          <w:ilvl w:val="0"/>
          <w:numId w:val="67"/>
        </w:numPr>
        <w:rPr>
          <w:rFonts w:ascii="Arial" w:cs="Arial" w:eastAsia="Arial" w:hAnsi="Arial"/>
          <w:sz w:val="16"/>
          <w:szCs w:val="16"/>
          <w:color w:val="009A4B"/>
        </w:rPr>
      </w:pPr>
      <w:r>
        <w:rPr>
          <w:rFonts w:ascii="Arial" w:cs="Arial" w:eastAsia="Arial" w:hAnsi="Arial"/>
          <w:sz w:val="16"/>
          <w:szCs w:val="16"/>
          <w:color w:val="auto"/>
        </w:rPr>
        <w:t>Nonretirement eligible executive officers forfeit unvested stock options. Their vested options remain in effect for the normal term. Retirement provisions described above apply to the stock options of retirement eligible executive officers.</w:t>
      </w:r>
    </w:p>
    <w:p>
      <w:pPr>
        <w:spacing w:after="0" w:line="89" w:lineRule="exact"/>
        <w:rPr>
          <w:rFonts w:ascii="Arial" w:cs="Arial" w:eastAsia="Arial" w:hAnsi="Arial"/>
          <w:sz w:val="16"/>
          <w:szCs w:val="16"/>
          <w:color w:val="009A4B"/>
        </w:rPr>
      </w:pPr>
    </w:p>
    <w:p>
      <w:pPr>
        <w:ind w:left="440" w:right="260" w:hanging="247"/>
        <w:spacing w:after="0" w:line="254" w:lineRule="auto"/>
        <w:tabs>
          <w:tab w:leader="none" w:pos="440" w:val="left"/>
        </w:tabs>
        <w:numPr>
          <w:ilvl w:val="0"/>
          <w:numId w:val="67"/>
        </w:numPr>
        <w:rPr>
          <w:rFonts w:ascii="Arial" w:cs="Arial" w:eastAsia="Arial" w:hAnsi="Arial"/>
          <w:sz w:val="16"/>
          <w:szCs w:val="16"/>
          <w:color w:val="009A4B"/>
        </w:rPr>
      </w:pPr>
      <w:r>
        <w:rPr>
          <w:rFonts w:ascii="Arial" w:cs="Arial" w:eastAsia="Arial" w:hAnsi="Arial"/>
          <w:sz w:val="16"/>
          <w:szCs w:val="16"/>
          <w:color w:val="auto"/>
        </w:rPr>
        <w:t>A pro-rata portion of four-year vesting RSUs and recruiting and retention grants of RSUs vest. The remaining RSUs are forfeited. However, retirement provisions described above apply to outstanding RSUs held by retirement eligible executive officers if more favorable.</w:t>
      </w:r>
    </w:p>
    <w:p>
      <w:pPr>
        <w:spacing w:after="0" w:line="89" w:lineRule="exact"/>
        <w:rPr>
          <w:rFonts w:ascii="Arial" w:cs="Arial" w:eastAsia="Arial" w:hAnsi="Arial"/>
          <w:sz w:val="16"/>
          <w:szCs w:val="16"/>
          <w:color w:val="009A4B"/>
        </w:rPr>
      </w:pPr>
    </w:p>
    <w:p>
      <w:pPr>
        <w:ind w:left="440" w:right="260" w:hanging="247"/>
        <w:spacing w:after="0" w:line="248" w:lineRule="auto"/>
        <w:tabs>
          <w:tab w:leader="none" w:pos="440" w:val="left"/>
        </w:tabs>
        <w:numPr>
          <w:ilvl w:val="0"/>
          <w:numId w:val="67"/>
        </w:numPr>
        <w:rPr>
          <w:rFonts w:ascii="Arial" w:cs="Arial" w:eastAsia="Arial" w:hAnsi="Arial"/>
          <w:sz w:val="16"/>
          <w:szCs w:val="16"/>
          <w:color w:val="009A4B"/>
        </w:rPr>
      </w:pPr>
      <w:r>
        <w:rPr>
          <w:rFonts w:ascii="Arial" w:cs="Arial" w:eastAsia="Arial" w:hAnsi="Arial"/>
          <w:sz w:val="16"/>
          <w:szCs w:val="16"/>
          <w:color w:val="auto"/>
        </w:rPr>
        <w:t>A pro-rata portion of unearned performance shares based on actual performance at the end of the performance period vest and are paid at the end of the performance period and the remainder are forfeited. The unforfeited shares are paid in accordance with the normal schedule and at the normal payout level if performance thresholds are met.</w:t>
      </w:r>
    </w:p>
    <w:p>
      <w:pPr>
        <w:spacing w:after="0" w:line="196" w:lineRule="exact"/>
        <w:rPr>
          <w:sz w:val="20"/>
          <w:szCs w:val="20"/>
          <w:color w:val="auto"/>
        </w:rPr>
      </w:pPr>
    </w:p>
    <w:p>
      <w:pPr>
        <w:spacing w:after="0"/>
        <w:rPr>
          <w:sz w:val="20"/>
          <w:szCs w:val="20"/>
          <w:color w:val="auto"/>
        </w:rPr>
      </w:pPr>
      <w:r>
        <w:rPr>
          <w:rFonts w:ascii="Arial" w:cs="Arial" w:eastAsia="Arial" w:hAnsi="Arial"/>
          <w:sz w:val="28"/>
          <w:szCs w:val="28"/>
          <w:color w:val="009A4B"/>
        </w:rPr>
        <w:t>Mr. Ghasemi’s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225" cy="17145"/>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36"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In addition to the Separation Program, Mr. Ghasemi’s Employment Agreement provides that, upon his termination by the Company other than for “cause” or his voluntary termination for “good reason”, his long-term incentive awards will continue to vest as if he remained employed. For purposes of the Employment Agreement, “cause” is Mr. Ghasemi’s willful failure to substantially perform his duties after a demand for substantial performance is delivered, willful misconduct that has caused or would reasonably be expected to result in a material injury to the Company, criminal conviction of (or a plea of nolo contendere) to a crime that constitutes a felony, repeated acts of insubordination, an act of dishonesty inconsistent with his position or a material violation of the Code of Conduct. Mr. Ghasemi has the right to resign for “good reason” under the Agreement if: there is a material adverse change in his position or office; a decrease in his salary, benefits or incentive compensation if not applied to other highly compensated employees; or a relocation of his principal workplace by more than 50 miles from its existing location. The Employment Agreement was amended on May 21, 2020 (within this subsection, the “Amendment”). The Amendment extends the term of the Employment Agreement from September 30, 2022 to September 30, 2025. In addition, pursuant to the Amendment if Mr. Ghasemi’s employment terminates after September 30, 2023 without “cause” or for “good reason”, as each term is defined in the Employment Agreement, any cash severance payment he is entitled to receive would be prorated based on the number of days remaining from the last day of his employment until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95250</wp:posOffset>
            </wp:positionV>
            <wp:extent cx="845185" cy="202565"/>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845185" cy="20256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7155180" cy="20955"/>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28"/>
          <w:szCs w:val="28"/>
          <w:color w:val="009A4B"/>
        </w:rPr>
        <w:t>Estimated Payments on Severance as of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225" cy="17145"/>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36"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The table below shows estimated cash payments that would have been made to each executive officer upon an involuntary termination on September 30, 2021 covered under the Separation Program and, in the case of Mr. Ghasemi, the Employment Agreement, and the estimated value of long-term incentive awards that would have vested under the Separation Program upon termination. Mr. Crocco retired from the Company on September 30, 2021 and therefore on September 30, 2021 was not entitled to receive benefits under the Separation Program.</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7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jc w:val="right"/>
              <w:ind w:right="45"/>
              <w:spacing w:after="0"/>
              <w:rPr>
                <w:sz w:val="20"/>
                <w:szCs w:val="20"/>
                <w:color w:val="auto"/>
              </w:rPr>
            </w:pPr>
            <w:r>
              <w:rPr>
                <w:rFonts w:ascii="Arial" w:cs="Arial" w:eastAsia="Arial" w:hAnsi="Arial"/>
                <w:sz w:val="14"/>
                <w:szCs w:val="14"/>
                <w:b w:val="1"/>
                <w:bCs w:val="1"/>
                <w:color w:val="auto"/>
              </w:rPr>
              <w:t>Retirement</w:t>
            </w:r>
          </w:p>
        </w:tc>
        <w:tc>
          <w:tcPr>
            <w:tcW w:w="10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Long-Term Incentive Plan</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720" w:type="dxa"/>
            <w:vAlign w:val="bottom"/>
          </w:tcPr>
          <w:p>
            <w:pPr>
              <w:spacing w:after="0"/>
              <w:rPr>
                <w:sz w:val="13"/>
                <w:szCs w:val="13"/>
                <w:color w:val="auto"/>
              </w:rPr>
            </w:pPr>
          </w:p>
        </w:tc>
        <w:tc>
          <w:tcPr>
            <w:tcW w:w="1880" w:type="dxa"/>
            <w:vAlign w:val="bottom"/>
          </w:tcPr>
          <w:p>
            <w:pPr>
              <w:jc w:val="right"/>
              <w:ind w:right="23"/>
              <w:spacing w:after="0" w:line="160" w:lineRule="exact"/>
              <w:rPr>
                <w:sz w:val="20"/>
                <w:szCs w:val="20"/>
                <w:color w:val="auto"/>
              </w:rPr>
            </w:pPr>
            <w:r>
              <w:rPr>
                <w:rFonts w:ascii="Arial" w:cs="Arial" w:eastAsia="Arial" w:hAnsi="Arial"/>
                <w:sz w:val="14"/>
                <w:szCs w:val="14"/>
                <w:b w:val="1"/>
                <w:bCs w:val="1"/>
                <w:color w:val="auto"/>
              </w:rPr>
              <w:t>Severance</w:t>
            </w:r>
          </w:p>
        </w:tc>
        <w:tc>
          <w:tcPr>
            <w:tcW w:w="920" w:type="dxa"/>
            <w:vAlign w:val="bottom"/>
          </w:tcPr>
          <w:p>
            <w:pPr>
              <w:jc w:val="right"/>
              <w:ind w:right="23"/>
              <w:spacing w:after="0" w:line="160" w:lineRule="exact"/>
              <w:rPr>
                <w:sz w:val="20"/>
                <w:szCs w:val="20"/>
                <w:color w:val="auto"/>
              </w:rPr>
            </w:pPr>
            <w:r>
              <w:rPr>
                <w:rFonts w:ascii="Arial" w:cs="Arial" w:eastAsia="Arial" w:hAnsi="Arial"/>
                <w:sz w:val="14"/>
                <w:szCs w:val="14"/>
                <w:b w:val="1"/>
                <w:bCs w:val="1"/>
                <w:color w:val="auto"/>
              </w:rPr>
              <w:t>Pro-rata</w:t>
            </w:r>
          </w:p>
        </w:tc>
        <w:tc>
          <w:tcPr>
            <w:tcW w:w="960" w:type="dxa"/>
            <w:vAlign w:val="bottom"/>
          </w:tcPr>
          <w:p>
            <w:pPr>
              <w:jc w:val="right"/>
              <w:ind w:right="45"/>
              <w:spacing w:after="0" w:line="160" w:lineRule="exact"/>
              <w:rPr>
                <w:sz w:val="20"/>
                <w:szCs w:val="20"/>
                <w:color w:val="auto"/>
              </w:rPr>
            </w:pPr>
            <w:r>
              <w:rPr>
                <w:rFonts w:ascii="Arial" w:cs="Arial" w:eastAsia="Arial" w:hAnsi="Arial"/>
                <w:sz w:val="14"/>
                <w:szCs w:val="14"/>
                <w:b w:val="1"/>
                <w:bCs w:val="1"/>
                <w:color w:val="auto"/>
              </w:rPr>
              <w:t>Plan</w:t>
            </w:r>
          </w:p>
        </w:tc>
        <w:tc>
          <w:tcPr>
            <w:tcW w:w="1040" w:type="dxa"/>
            <w:vAlign w:val="bottom"/>
            <w:vMerge w:val="restart"/>
          </w:tcPr>
          <w:p>
            <w:pPr>
              <w:jc w:val="right"/>
              <w:ind w:right="163"/>
              <w:spacing w:after="0"/>
              <w:rPr>
                <w:sz w:val="20"/>
                <w:szCs w:val="20"/>
                <w:color w:val="auto"/>
              </w:rPr>
            </w:pPr>
            <w:r>
              <w:rPr>
                <w:rFonts w:ascii="Arial" w:cs="Arial" w:eastAsia="Arial" w:hAnsi="Arial"/>
                <w:sz w:val="14"/>
                <w:szCs w:val="14"/>
                <w:b w:val="1"/>
                <w:bCs w:val="1"/>
                <w:color w:val="auto"/>
              </w:rPr>
              <w:t>Benefits</w:t>
            </w:r>
            <w:r>
              <w:rPr>
                <w:rFonts w:ascii="Arial" w:cs="Arial" w:eastAsia="Arial" w:hAnsi="Arial"/>
                <w:sz w:val="23"/>
                <w:szCs w:val="23"/>
                <w:b w:val="1"/>
                <w:bCs w:val="1"/>
                <w:color w:val="auto"/>
                <w:vertAlign w:val="superscript"/>
              </w:rPr>
              <w:t>(2)</w:t>
            </w:r>
          </w:p>
        </w:tc>
        <w:tc>
          <w:tcPr>
            <w:tcW w:w="640" w:type="dxa"/>
            <w:vAlign w:val="bottom"/>
          </w:tcPr>
          <w:p>
            <w:pPr>
              <w:jc w:val="right"/>
              <w:ind w:right="23"/>
              <w:spacing w:after="0" w:line="160" w:lineRule="exact"/>
              <w:rPr>
                <w:sz w:val="20"/>
                <w:szCs w:val="20"/>
                <w:color w:val="auto"/>
              </w:rPr>
            </w:pPr>
            <w:r>
              <w:rPr>
                <w:rFonts w:ascii="Arial" w:cs="Arial" w:eastAsia="Arial" w:hAnsi="Arial"/>
                <w:sz w:val="14"/>
                <w:szCs w:val="14"/>
                <w:b w:val="1"/>
                <w:bCs w:val="1"/>
                <w:color w:val="auto"/>
              </w:rPr>
              <w:t>Stock</w:t>
            </w:r>
          </w:p>
        </w:tc>
        <w:tc>
          <w:tcPr>
            <w:tcW w:w="900" w:type="dxa"/>
            <w:vAlign w:val="bottom"/>
          </w:tcPr>
          <w:p>
            <w:pPr>
              <w:jc w:val="right"/>
              <w:ind w:right="24"/>
              <w:spacing w:after="0" w:line="160" w:lineRule="exact"/>
              <w:rPr>
                <w:sz w:val="20"/>
                <w:szCs w:val="20"/>
                <w:color w:val="auto"/>
              </w:rPr>
            </w:pPr>
            <w:r>
              <w:rPr>
                <w:rFonts w:ascii="Arial" w:cs="Arial" w:eastAsia="Arial" w:hAnsi="Arial"/>
                <w:sz w:val="14"/>
                <w:szCs w:val="14"/>
                <w:b w:val="1"/>
                <w:bCs w:val="1"/>
                <w:color w:val="auto"/>
              </w:rPr>
              <w:t>Restricted</w:t>
            </w:r>
          </w:p>
        </w:tc>
        <w:tc>
          <w:tcPr>
            <w:tcW w:w="1220" w:type="dxa"/>
            <w:vAlign w:val="bottom"/>
          </w:tcPr>
          <w:p>
            <w:pPr>
              <w:jc w:val="right"/>
              <w:ind w:right="104"/>
              <w:spacing w:after="0" w:line="160" w:lineRule="exact"/>
              <w:rPr>
                <w:sz w:val="20"/>
                <w:szCs w:val="20"/>
                <w:color w:val="auto"/>
              </w:rPr>
            </w:pPr>
            <w:r>
              <w:rPr>
                <w:rFonts w:ascii="Arial" w:cs="Arial" w:eastAsia="Arial" w:hAnsi="Arial"/>
                <w:sz w:val="14"/>
                <w:szCs w:val="14"/>
                <w:b w:val="1"/>
                <w:bCs w:val="1"/>
                <w:color w:val="auto"/>
              </w:rPr>
              <w:t>Restricted</w:t>
            </w:r>
          </w:p>
        </w:tc>
        <w:tc>
          <w:tcPr>
            <w:tcW w:w="96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73"/>
        </w:trPr>
        <w:tc>
          <w:tcPr>
            <w:tcW w:w="2720" w:type="dxa"/>
            <w:vAlign w:val="bottom"/>
          </w:tcPr>
          <w:p>
            <w:pPr>
              <w:spacing w:after="0"/>
              <w:rPr>
                <w:sz w:val="15"/>
                <w:szCs w:val="15"/>
                <w:color w:val="auto"/>
              </w:rPr>
            </w:pPr>
          </w:p>
        </w:tc>
        <w:tc>
          <w:tcPr>
            <w:tcW w:w="1880" w:type="dxa"/>
            <w:vAlign w:val="bottom"/>
          </w:tcPr>
          <w:p>
            <w:pPr>
              <w:jc w:val="right"/>
              <w:ind w:right="23"/>
              <w:spacing w:after="0"/>
              <w:rPr>
                <w:sz w:val="20"/>
                <w:szCs w:val="20"/>
                <w:color w:val="auto"/>
              </w:rPr>
            </w:pPr>
            <w:r>
              <w:rPr>
                <w:rFonts w:ascii="Arial" w:cs="Arial" w:eastAsia="Arial" w:hAnsi="Arial"/>
                <w:sz w:val="14"/>
                <w:szCs w:val="14"/>
                <w:b w:val="1"/>
                <w:bCs w:val="1"/>
                <w:color w:val="auto"/>
              </w:rPr>
              <w:t>Benefit</w:t>
            </w:r>
          </w:p>
        </w:tc>
        <w:tc>
          <w:tcPr>
            <w:tcW w:w="920" w:type="dxa"/>
            <w:vAlign w:val="bottom"/>
          </w:tcPr>
          <w:p>
            <w:pPr>
              <w:jc w:val="right"/>
              <w:ind w:right="23"/>
              <w:spacing w:after="0"/>
              <w:rPr>
                <w:sz w:val="20"/>
                <w:szCs w:val="20"/>
                <w:color w:val="auto"/>
              </w:rPr>
            </w:pPr>
            <w:r>
              <w:rPr>
                <w:rFonts w:ascii="Arial" w:cs="Arial" w:eastAsia="Arial" w:hAnsi="Arial"/>
                <w:sz w:val="14"/>
                <w:szCs w:val="14"/>
                <w:b w:val="1"/>
                <w:bCs w:val="1"/>
                <w:color w:val="auto"/>
              </w:rPr>
              <w:t>Bonus</w:t>
            </w:r>
          </w:p>
        </w:tc>
        <w:tc>
          <w:tcPr>
            <w:tcW w:w="960" w:type="dxa"/>
            <w:vAlign w:val="bottom"/>
          </w:tcPr>
          <w:p>
            <w:pPr>
              <w:jc w:val="right"/>
              <w:ind w:right="45"/>
              <w:spacing w:after="0" w:line="173" w:lineRule="exact"/>
              <w:rPr>
                <w:sz w:val="20"/>
                <w:szCs w:val="20"/>
                <w:color w:val="auto"/>
              </w:rPr>
            </w:pPr>
            <w:r>
              <w:rPr>
                <w:rFonts w:ascii="Arial" w:cs="Arial" w:eastAsia="Arial" w:hAnsi="Arial"/>
                <w:sz w:val="13"/>
                <w:szCs w:val="13"/>
                <w:b w:val="1"/>
                <w:bCs w:val="1"/>
                <w:color w:val="auto"/>
              </w:rPr>
              <w:t>Payment</w:t>
            </w:r>
            <w:r>
              <w:rPr>
                <w:rFonts w:ascii="Arial" w:cs="Arial" w:eastAsia="Arial" w:hAnsi="Arial"/>
                <w:sz w:val="20"/>
                <w:szCs w:val="20"/>
                <w:b w:val="1"/>
                <w:bCs w:val="1"/>
                <w:color w:val="auto"/>
                <w:vertAlign w:val="superscript"/>
              </w:rPr>
              <w:t>(1)</w:t>
            </w:r>
          </w:p>
        </w:tc>
        <w:tc>
          <w:tcPr>
            <w:tcW w:w="1040" w:type="dxa"/>
            <w:vAlign w:val="bottom"/>
            <w:vMerge w:val="continue"/>
          </w:tcPr>
          <w:p>
            <w:pPr>
              <w:spacing w:after="0"/>
              <w:rPr>
                <w:sz w:val="15"/>
                <w:szCs w:val="15"/>
                <w:color w:val="auto"/>
              </w:rPr>
            </w:pPr>
          </w:p>
        </w:tc>
        <w:tc>
          <w:tcPr>
            <w:tcW w:w="640" w:type="dxa"/>
            <w:vAlign w:val="bottom"/>
          </w:tcPr>
          <w:p>
            <w:pPr>
              <w:jc w:val="right"/>
              <w:ind w:right="23"/>
              <w:spacing w:after="0"/>
              <w:rPr>
                <w:sz w:val="20"/>
                <w:szCs w:val="20"/>
                <w:color w:val="auto"/>
              </w:rPr>
            </w:pPr>
            <w:r>
              <w:rPr>
                <w:rFonts w:ascii="Arial" w:cs="Arial" w:eastAsia="Arial" w:hAnsi="Arial"/>
                <w:sz w:val="14"/>
                <w:szCs w:val="14"/>
                <w:b w:val="1"/>
                <w:bCs w:val="1"/>
                <w:color w:val="auto"/>
                <w:w w:val="98"/>
              </w:rPr>
              <w:t>Options</w:t>
            </w:r>
          </w:p>
        </w:tc>
        <w:tc>
          <w:tcPr>
            <w:tcW w:w="900" w:type="dxa"/>
            <w:vAlign w:val="bottom"/>
          </w:tcPr>
          <w:p>
            <w:pPr>
              <w:jc w:val="right"/>
              <w:ind w:right="24"/>
              <w:spacing w:after="0"/>
              <w:rPr>
                <w:sz w:val="20"/>
                <w:szCs w:val="20"/>
                <w:color w:val="auto"/>
              </w:rPr>
            </w:pPr>
            <w:r>
              <w:rPr>
                <w:rFonts w:ascii="Arial" w:cs="Arial" w:eastAsia="Arial" w:hAnsi="Arial"/>
                <w:sz w:val="14"/>
                <w:szCs w:val="14"/>
                <w:b w:val="1"/>
                <w:bCs w:val="1"/>
                <w:color w:val="auto"/>
              </w:rPr>
              <w:t>Stock</w:t>
            </w:r>
          </w:p>
        </w:tc>
        <w:tc>
          <w:tcPr>
            <w:tcW w:w="1220" w:type="dxa"/>
            <w:vAlign w:val="bottom"/>
          </w:tcPr>
          <w:p>
            <w:pPr>
              <w:jc w:val="right"/>
              <w:ind w:right="104"/>
              <w:spacing w:after="0" w:line="173" w:lineRule="exact"/>
              <w:rPr>
                <w:sz w:val="20"/>
                <w:szCs w:val="20"/>
                <w:color w:val="auto"/>
              </w:rPr>
            </w:pPr>
            <w:r>
              <w:rPr>
                <w:rFonts w:ascii="Arial" w:cs="Arial" w:eastAsia="Arial" w:hAnsi="Arial"/>
                <w:sz w:val="13"/>
                <w:szCs w:val="13"/>
                <w:b w:val="1"/>
                <w:bCs w:val="1"/>
                <w:color w:val="auto"/>
              </w:rPr>
              <w:t>Stock Units</w:t>
            </w:r>
            <w:r>
              <w:rPr>
                <w:rFonts w:ascii="Arial" w:cs="Arial" w:eastAsia="Arial" w:hAnsi="Arial"/>
                <w:sz w:val="20"/>
                <w:szCs w:val="20"/>
                <w:b w:val="1"/>
                <w:bCs w:val="1"/>
                <w:color w:val="auto"/>
                <w:vertAlign w:val="superscript"/>
              </w:rPr>
              <w:t>(3)</w:t>
            </w:r>
          </w:p>
        </w:tc>
        <w:tc>
          <w:tcPr>
            <w:tcW w:w="960" w:type="dxa"/>
            <w:vAlign w:val="bottom"/>
          </w:tcPr>
          <w:p>
            <w:pPr>
              <w:jc w:val="right"/>
              <w:spacing w:after="0" w:line="173" w:lineRule="exact"/>
              <w:rPr>
                <w:sz w:val="20"/>
                <w:szCs w:val="20"/>
                <w:color w:val="auto"/>
              </w:rPr>
            </w:pPr>
            <w:r>
              <w:rPr>
                <w:rFonts w:ascii="Arial" w:cs="Arial" w:eastAsia="Arial" w:hAnsi="Arial"/>
                <w:sz w:val="13"/>
                <w:szCs w:val="13"/>
                <w:b w:val="1"/>
                <w:bCs w:val="1"/>
                <w:color w:val="auto"/>
              </w:rPr>
              <w:t>Shares</w:t>
            </w:r>
            <w:r>
              <w:rPr>
                <w:rFonts w:ascii="Arial" w:cs="Arial" w:eastAsia="Arial" w:hAnsi="Arial"/>
                <w:sz w:val="20"/>
                <w:szCs w:val="20"/>
                <w:b w:val="1"/>
                <w:bCs w:val="1"/>
                <w:color w:val="auto"/>
                <w:vertAlign w:val="superscript"/>
              </w:rPr>
              <w:t>(4)</w:t>
            </w:r>
          </w:p>
        </w:tc>
        <w:tc>
          <w:tcPr>
            <w:tcW w:w="0" w:type="dxa"/>
            <w:vAlign w:val="bottom"/>
          </w:tcPr>
          <w:p>
            <w:pPr>
              <w:spacing w:after="0"/>
              <w:rPr>
                <w:sz w:val="1"/>
                <w:szCs w:val="1"/>
                <w:color w:val="auto"/>
              </w:rPr>
            </w:pPr>
          </w:p>
        </w:tc>
      </w:tr>
      <w:tr>
        <w:trPr>
          <w:trHeight w:val="206"/>
        </w:trPr>
        <w:tc>
          <w:tcPr>
            <w:tcW w:w="27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Officer</w:t>
            </w:r>
          </w:p>
        </w:tc>
        <w:tc>
          <w:tcPr>
            <w:tcW w:w="18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80"/>
        </w:trPr>
        <w:tc>
          <w:tcPr>
            <w:tcW w:w="2720" w:type="dxa"/>
            <w:vAlign w:val="bottom"/>
            <w:tcBorders>
              <w:bottom w:val="single" w:sz="8" w:color="949599"/>
            </w:tcBorders>
          </w:tcPr>
          <w:p>
            <w:pPr>
              <w:ind w:left="80"/>
              <w:spacing w:after="0" w:line="280" w:lineRule="exact"/>
              <w:rPr>
                <w:sz w:val="20"/>
                <w:szCs w:val="20"/>
                <w:color w:val="auto"/>
              </w:rPr>
            </w:pPr>
            <w:r>
              <w:rPr>
                <w:rFonts w:ascii="Arial" w:cs="Arial" w:eastAsia="Arial" w:hAnsi="Arial"/>
                <w:sz w:val="16"/>
                <w:szCs w:val="16"/>
                <w:b w:val="1"/>
                <w:bCs w:val="1"/>
                <w:color w:val="009A4B"/>
              </w:rPr>
              <w:t>Seifi Ghasemi</w:t>
            </w:r>
            <w:r>
              <w:rPr>
                <w:rFonts w:ascii="Arial" w:cs="Arial" w:eastAsia="Arial" w:hAnsi="Arial"/>
                <w:sz w:val="26"/>
                <w:szCs w:val="26"/>
                <w:b w:val="1"/>
                <w:bCs w:val="1"/>
                <w:color w:val="009A4B"/>
                <w:vertAlign w:val="superscript"/>
              </w:rPr>
              <w:t>(5)</w:t>
            </w:r>
          </w:p>
        </w:tc>
        <w:tc>
          <w:tcPr>
            <w:tcW w:w="1880" w:type="dxa"/>
            <w:vAlign w:val="bottom"/>
            <w:tcBorders>
              <w:bottom w:val="single" w:sz="8" w:color="949599"/>
            </w:tcBorders>
          </w:tcPr>
          <w:p>
            <w:pPr>
              <w:jc w:val="right"/>
              <w:ind w:right="23"/>
              <w:spacing w:after="0"/>
              <w:rPr>
                <w:sz w:val="20"/>
                <w:szCs w:val="20"/>
                <w:color w:val="auto"/>
              </w:rPr>
            </w:pPr>
            <w:r>
              <w:rPr>
                <w:rFonts w:ascii="Arial" w:cs="Arial" w:eastAsia="Arial" w:hAnsi="Arial"/>
                <w:sz w:val="16"/>
                <w:szCs w:val="16"/>
                <w:color w:val="auto"/>
              </w:rPr>
              <w:t>6,750,000</w:t>
            </w:r>
          </w:p>
        </w:tc>
        <w:tc>
          <w:tcPr>
            <w:tcW w:w="920" w:type="dxa"/>
            <w:vAlign w:val="bottom"/>
            <w:tcBorders>
              <w:bottom w:val="single" w:sz="8" w:color="949599"/>
            </w:tcBorders>
          </w:tcPr>
          <w:p>
            <w:pPr>
              <w:jc w:val="right"/>
              <w:ind w:right="23"/>
              <w:spacing w:after="0"/>
              <w:rPr>
                <w:sz w:val="20"/>
                <w:szCs w:val="20"/>
                <w:color w:val="auto"/>
              </w:rPr>
            </w:pPr>
            <w:r>
              <w:rPr>
                <w:rFonts w:ascii="Arial" w:cs="Arial" w:eastAsia="Arial" w:hAnsi="Arial"/>
                <w:sz w:val="16"/>
                <w:szCs w:val="16"/>
                <w:color w:val="auto"/>
              </w:rPr>
              <w:t>1,923,750</w:t>
            </w:r>
          </w:p>
        </w:tc>
        <w:tc>
          <w:tcPr>
            <w:tcW w:w="960" w:type="dxa"/>
            <w:vAlign w:val="bottom"/>
            <w:tcBorders>
              <w:bottom w:val="single" w:sz="8" w:color="949599"/>
            </w:tcBorders>
          </w:tcPr>
          <w:p>
            <w:pPr>
              <w:jc w:val="right"/>
              <w:ind w:right="45"/>
              <w:spacing w:after="0"/>
              <w:rPr>
                <w:sz w:val="20"/>
                <w:szCs w:val="20"/>
                <w:color w:val="auto"/>
              </w:rPr>
            </w:pPr>
            <w:r>
              <w:rPr>
                <w:rFonts w:ascii="Arial" w:cs="Arial" w:eastAsia="Arial" w:hAnsi="Arial"/>
                <w:sz w:val="16"/>
                <w:szCs w:val="16"/>
                <w:color w:val="auto"/>
              </w:rPr>
              <w:t>354,240</w:t>
            </w:r>
          </w:p>
        </w:tc>
        <w:tc>
          <w:tcPr>
            <w:tcW w:w="1040" w:type="dxa"/>
            <w:vAlign w:val="bottom"/>
            <w:tcBorders>
              <w:bottom w:val="single" w:sz="8" w:color="949599"/>
            </w:tcBorders>
          </w:tcPr>
          <w:p>
            <w:pPr>
              <w:jc w:val="right"/>
              <w:ind w:right="123"/>
              <w:spacing w:after="0"/>
              <w:rPr>
                <w:sz w:val="20"/>
                <w:szCs w:val="20"/>
                <w:color w:val="auto"/>
              </w:rPr>
            </w:pPr>
            <w:r>
              <w:rPr>
                <w:rFonts w:ascii="Arial" w:cs="Arial" w:eastAsia="Arial" w:hAnsi="Arial"/>
                <w:sz w:val="16"/>
                <w:szCs w:val="16"/>
                <w:color w:val="auto"/>
              </w:rPr>
              <w:t>29,000</w:t>
            </w:r>
          </w:p>
        </w:tc>
        <w:tc>
          <w:tcPr>
            <w:tcW w:w="640" w:type="dxa"/>
            <w:vAlign w:val="bottom"/>
            <w:tcBorders>
              <w:bottom w:val="single" w:sz="8" w:color="949599"/>
            </w:tcBorders>
          </w:tcPr>
          <w:p>
            <w:pPr>
              <w:jc w:val="right"/>
              <w:ind w:right="23"/>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949599"/>
            </w:tcBorders>
          </w:tcPr>
          <w:p>
            <w:pPr>
              <w:jc w:val="right"/>
              <w:ind w:right="24"/>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949599"/>
            </w:tcBorders>
          </w:tcPr>
          <w:p>
            <w:pPr>
              <w:jc w:val="right"/>
              <w:ind w:right="104"/>
              <w:spacing w:after="0"/>
              <w:rPr>
                <w:sz w:val="20"/>
                <w:szCs w:val="20"/>
                <w:color w:val="auto"/>
              </w:rPr>
            </w:pPr>
            <w:r>
              <w:rPr>
                <w:rFonts w:ascii="Arial" w:cs="Arial" w:eastAsia="Arial" w:hAnsi="Arial"/>
                <w:sz w:val="16"/>
                <w:szCs w:val="16"/>
                <w:color w:val="auto"/>
              </w:rPr>
              <w:t>4,187,515</w:t>
            </w:r>
          </w:p>
        </w:tc>
        <w:tc>
          <w:tcPr>
            <w:tcW w:w="96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8,515,221</w:t>
            </w:r>
          </w:p>
        </w:tc>
        <w:tc>
          <w:tcPr>
            <w:tcW w:w="0" w:type="dxa"/>
            <w:vAlign w:val="bottom"/>
          </w:tcPr>
          <w:p>
            <w:pPr>
              <w:spacing w:after="0"/>
              <w:rPr>
                <w:sz w:val="1"/>
                <w:szCs w:val="1"/>
                <w:color w:val="auto"/>
              </w:rPr>
            </w:pPr>
          </w:p>
        </w:tc>
      </w:tr>
      <w:tr>
        <w:trPr>
          <w:trHeight w:val="226"/>
        </w:trPr>
        <w:tc>
          <w:tcPr>
            <w:tcW w:w="2720" w:type="dxa"/>
            <w:vAlign w:val="bottom"/>
            <w:tcBorders>
              <w:bottom w:val="single" w:sz="8" w:color="949599"/>
            </w:tcBorders>
          </w:tcPr>
          <w:p>
            <w:pPr>
              <w:ind w:left="80"/>
              <w:spacing w:after="0"/>
              <w:rPr>
                <w:sz w:val="20"/>
                <w:szCs w:val="20"/>
                <w:color w:val="auto"/>
              </w:rPr>
            </w:pPr>
            <w:r>
              <w:rPr>
                <w:rFonts w:ascii="Arial" w:cs="Arial" w:eastAsia="Arial" w:hAnsi="Arial"/>
                <w:sz w:val="16"/>
                <w:szCs w:val="16"/>
                <w:b w:val="1"/>
                <w:bCs w:val="1"/>
                <w:color w:val="009A4B"/>
              </w:rPr>
              <w:t>Melissa N. Schaeffer</w:t>
            </w:r>
          </w:p>
        </w:tc>
        <w:tc>
          <w:tcPr>
            <w:tcW w:w="1880" w:type="dxa"/>
            <w:vAlign w:val="bottom"/>
            <w:tcBorders>
              <w:bottom w:val="single" w:sz="8" w:color="949599"/>
            </w:tcBorders>
          </w:tcPr>
          <w:p>
            <w:pPr>
              <w:jc w:val="right"/>
              <w:ind w:right="23"/>
              <w:spacing w:after="0"/>
              <w:rPr>
                <w:sz w:val="20"/>
                <w:szCs w:val="20"/>
                <w:color w:val="auto"/>
              </w:rPr>
            </w:pPr>
            <w:r>
              <w:rPr>
                <w:rFonts w:ascii="Arial" w:cs="Arial" w:eastAsia="Arial" w:hAnsi="Arial"/>
                <w:sz w:val="16"/>
                <w:szCs w:val="16"/>
                <w:color w:val="auto"/>
              </w:rPr>
              <w:t>840,100</w:t>
            </w:r>
          </w:p>
        </w:tc>
        <w:tc>
          <w:tcPr>
            <w:tcW w:w="920" w:type="dxa"/>
            <w:vAlign w:val="bottom"/>
            <w:tcBorders>
              <w:bottom w:val="single" w:sz="8" w:color="949599"/>
            </w:tcBorders>
          </w:tcPr>
          <w:p>
            <w:pPr>
              <w:jc w:val="right"/>
              <w:ind w:right="23"/>
              <w:spacing w:after="0"/>
              <w:rPr>
                <w:sz w:val="20"/>
                <w:szCs w:val="20"/>
                <w:color w:val="auto"/>
              </w:rPr>
            </w:pPr>
            <w:r>
              <w:rPr>
                <w:rFonts w:ascii="Arial" w:cs="Arial" w:eastAsia="Arial" w:hAnsi="Arial"/>
                <w:sz w:val="16"/>
                <w:szCs w:val="16"/>
                <w:color w:val="auto"/>
              </w:rPr>
              <w:t>210,900</w:t>
            </w:r>
          </w:p>
        </w:tc>
        <w:tc>
          <w:tcPr>
            <w:tcW w:w="960" w:type="dxa"/>
            <w:vAlign w:val="bottom"/>
            <w:tcBorders>
              <w:bottom w:val="single" w:sz="8" w:color="949599"/>
            </w:tcBorders>
          </w:tcPr>
          <w:p>
            <w:pPr>
              <w:jc w:val="right"/>
              <w:ind w:right="45"/>
              <w:spacing w:after="0"/>
              <w:rPr>
                <w:sz w:val="20"/>
                <w:szCs w:val="20"/>
                <w:color w:val="auto"/>
              </w:rPr>
            </w:pPr>
            <w:r>
              <w:rPr>
                <w:rFonts w:ascii="Arial" w:cs="Arial" w:eastAsia="Arial" w:hAnsi="Arial"/>
                <w:sz w:val="16"/>
                <w:szCs w:val="16"/>
                <w:color w:val="auto"/>
              </w:rPr>
              <w:t>26,168</w:t>
            </w:r>
          </w:p>
        </w:tc>
        <w:tc>
          <w:tcPr>
            <w:tcW w:w="1040" w:type="dxa"/>
            <w:vAlign w:val="bottom"/>
            <w:tcBorders>
              <w:bottom w:val="single" w:sz="8" w:color="949599"/>
            </w:tcBorders>
          </w:tcPr>
          <w:p>
            <w:pPr>
              <w:jc w:val="right"/>
              <w:ind w:right="123"/>
              <w:spacing w:after="0"/>
              <w:rPr>
                <w:sz w:val="20"/>
                <w:szCs w:val="20"/>
                <w:color w:val="auto"/>
              </w:rPr>
            </w:pPr>
            <w:r>
              <w:rPr>
                <w:rFonts w:ascii="Arial" w:cs="Arial" w:eastAsia="Arial" w:hAnsi="Arial"/>
                <w:sz w:val="16"/>
                <w:szCs w:val="16"/>
                <w:color w:val="auto"/>
              </w:rPr>
              <w:t>54,660</w:t>
            </w:r>
          </w:p>
        </w:tc>
        <w:tc>
          <w:tcPr>
            <w:tcW w:w="640" w:type="dxa"/>
            <w:vAlign w:val="bottom"/>
            <w:tcBorders>
              <w:bottom w:val="single" w:sz="8" w:color="949599"/>
            </w:tcBorders>
          </w:tcPr>
          <w:p>
            <w:pPr>
              <w:jc w:val="right"/>
              <w:ind w:right="23"/>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949599"/>
            </w:tcBorders>
          </w:tcPr>
          <w:p>
            <w:pPr>
              <w:jc w:val="right"/>
              <w:ind w:right="24"/>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949599"/>
            </w:tcBorders>
          </w:tcPr>
          <w:p>
            <w:pPr>
              <w:jc w:val="right"/>
              <w:ind w:right="104"/>
              <w:spacing w:after="0"/>
              <w:rPr>
                <w:sz w:val="20"/>
                <w:szCs w:val="20"/>
                <w:color w:val="auto"/>
              </w:rPr>
            </w:pPr>
            <w:r>
              <w:rPr>
                <w:rFonts w:ascii="Arial" w:cs="Arial" w:eastAsia="Arial" w:hAnsi="Arial"/>
                <w:sz w:val="16"/>
                <w:szCs w:val="16"/>
                <w:color w:val="auto"/>
              </w:rPr>
              <w:t>189,278</w:t>
            </w:r>
          </w:p>
        </w:tc>
        <w:tc>
          <w:tcPr>
            <w:tcW w:w="96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318,985</w:t>
            </w:r>
          </w:p>
        </w:tc>
        <w:tc>
          <w:tcPr>
            <w:tcW w:w="0" w:type="dxa"/>
            <w:vAlign w:val="bottom"/>
          </w:tcPr>
          <w:p>
            <w:pPr>
              <w:spacing w:after="0"/>
              <w:rPr>
                <w:sz w:val="1"/>
                <w:szCs w:val="1"/>
                <w:color w:val="auto"/>
              </w:rPr>
            </w:pPr>
          </w:p>
        </w:tc>
      </w:tr>
      <w:tr>
        <w:trPr>
          <w:trHeight w:val="280"/>
        </w:trPr>
        <w:tc>
          <w:tcPr>
            <w:tcW w:w="2720" w:type="dxa"/>
            <w:vAlign w:val="bottom"/>
            <w:tcBorders>
              <w:bottom w:val="single" w:sz="8" w:color="949599"/>
            </w:tcBorders>
          </w:tcPr>
          <w:p>
            <w:pPr>
              <w:ind w:left="80"/>
              <w:spacing w:after="0" w:line="280" w:lineRule="exact"/>
              <w:rPr>
                <w:sz w:val="20"/>
                <w:szCs w:val="20"/>
                <w:color w:val="auto"/>
              </w:rPr>
            </w:pPr>
            <w:r>
              <w:rPr>
                <w:rFonts w:ascii="Arial" w:cs="Arial" w:eastAsia="Arial" w:hAnsi="Arial"/>
                <w:sz w:val="16"/>
                <w:szCs w:val="16"/>
                <w:b w:val="1"/>
                <w:bCs w:val="1"/>
                <w:color w:val="009A4B"/>
              </w:rPr>
              <w:t>M. Scott Crocco</w:t>
            </w:r>
            <w:r>
              <w:rPr>
                <w:rFonts w:ascii="Arial" w:cs="Arial" w:eastAsia="Arial" w:hAnsi="Arial"/>
                <w:sz w:val="26"/>
                <w:szCs w:val="26"/>
                <w:b w:val="1"/>
                <w:bCs w:val="1"/>
                <w:color w:val="009A4B"/>
                <w:vertAlign w:val="superscript"/>
              </w:rPr>
              <w:t>(6)</w:t>
            </w:r>
          </w:p>
        </w:tc>
        <w:tc>
          <w:tcPr>
            <w:tcW w:w="1880" w:type="dxa"/>
            <w:vAlign w:val="bottom"/>
            <w:tcBorders>
              <w:bottom w:val="single" w:sz="8" w:color="949599"/>
            </w:tcBorders>
          </w:tcPr>
          <w:p>
            <w:pPr>
              <w:jc w:val="right"/>
              <w:ind w:right="23"/>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949599"/>
            </w:tcBorders>
          </w:tcPr>
          <w:p>
            <w:pPr>
              <w:jc w:val="right"/>
              <w:ind w:right="23"/>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949599"/>
            </w:tcBorders>
          </w:tcPr>
          <w:p>
            <w:pPr>
              <w:jc w:val="right"/>
              <w:ind w:right="45"/>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949599"/>
            </w:tcBorders>
          </w:tcPr>
          <w:p>
            <w:pPr>
              <w:jc w:val="right"/>
              <w:ind w:right="123"/>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949599"/>
            </w:tcBorders>
          </w:tcPr>
          <w:p>
            <w:pPr>
              <w:jc w:val="right"/>
              <w:ind w:right="23"/>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949599"/>
            </w:tcBorders>
          </w:tcPr>
          <w:p>
            <w:pPr>
              <w:jc w:val="right"/>
              <w:ind w:right="24"/>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949599"/>
            </w:tcBorders>
          </w:tcPr>
          <w:p>
            <w:pPr>
              <w:jc w:val="right"/>
              <w:ind w:right="104"/>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2720" w:type="dxa"/>
            <w:vAlign w:val="bottom"/>
            <w:tcBorders>
              <w:bottom w:val="single" w:sz="8" w:color="949599"/>
            </w:tcBorders>
          </w:tcPr>
          <w:p>
            <w:pPr>
              <w:ind w:left="80"/>
              <w:spacing w:after="0"/>
              <w:rPr>
                <w:sz w:val="20"/>
                <w:szCs w:val="20"/>
                <w:color w:val="auto"/>
              </w:rPr>
            </w:pPr>
            <w:r>
              <w:rPr>
                <w:rFonts w:ascii="Arial" w:cs="Arial" w:eastAsia="Arial" w:hAnsi="Arial"/>
                <w:sz w:val="16"/>
                <w:szCs w:val="16"/>
                <w:b w:val="1"/>
                <w:bCs w:val="1"/>
                <w:color w:val="009A4B"/>
              </w:rPr>
              <w:t>Sean D. Major</w:t>
            </w:r>
          </w:p>
        </w:tc>
        <w:tc>
          <w:tcPr>
            <w:tcW w:w="1880" w:type="dxa"/>
            <w:vAlign w:val="bottom"/>
            <w:tcBorders>
              <w:bottom w:val="single" w:sz="8" w:color="949599"/>
            </w:tcBorders>
          </w:tcPr>
          <w:p>
            <w:pPr>
              <w:jc w:val="right"/>
              <w:ind w:right="23"/>
              <w:spacing w:after="0"/>
              <w:rPr>
                <w:sz w:val="20"/>
                <w:szCs w:val="20"/>
                <w:color w:val="auto"/>
              </w:rPr>
            </w:pPr>
            <w:r>
              <w:rPr>
                <w:rFonts w:ascii="Arial" w:cs="Arial" w:eastAsia="Arial" w:hAnsi="Arial"/>
                <w:sz w:val="16"/>
                <w:szCs w:val="16"/>
                <w:color w:val="auto"/>
              </w:rPr>
              <w:t>1,045,000</w:t>
            </w:r>
          </w:p>
        </w:tc>
        <w:tc>
          <w:tcPr>
            <w:tcW w:w="920" w:type="dxa"/>
            <w:vAlign w:val="bottom"/>
            <w:tcBorders>
              <w:bottom w:val="single" w:sz="8" w:color="949599"/>
            </w:tcBorders>
          </w:tcPr>
          <w:p>
            <w:pPr>
              <w:jc w:val="right"/>
              <w:ind w:right="23"/>
              <w:spacing w:after="0"/>
              <w:rPr>
                <w:sz w:val="20"/>
                <w:szCs w:val="20"/>
                <w:color w:val="auto"/>
              </w:rPr>
            </w:pPr>
            <w:r>
              <w:rPr>
                <w:rFonts w:ascii="Arial" w:cs="Arial" w:eastAsia="Arial" w:hAnsi="Arial"/>
                <w:sz w:val="16"/>
                <w:szCs w:val="16"/>
                <w:color w:val="auto"/>
              </w:rPr>
              <w:t>470,250</w:t>
            </w:r>
          </w:p>
        </w:tc>
        <w:tc>
          <w:tcPr>
            <w:tcW w:w="960" w:type="dxa"/>
            <w:vAlign w:val="bottom"/>
            <w:tcBorders>
              <w:bottom w:val="single" w:sz="8" w:color="949599"/>
            </w:tcBorders>
          </w:tcPr>
          <w:p>
            <w:pPr>
              <w:jc w:val="right"/>
              <w:ind w:right="45"/>
              <w:spacing w:after="0"/>
              <w:rPr>
                <w:sz w:val="20"/>
                <w:szCs w:val="20"/>
                <w:color w:val="auto"/>
              </w:rPr>
            </w:pPr>
            <w:r>
              <w:rPr>
                <w:rFonts w:ascii="Arial" w:cs="Arial" w:eastAsia="Arial" w:hAnsi="Arial"/>
                <w:sz w:val="16"/>
                <w:szCs w:val="16"/>
                <w:color w:val="auto"/>
              </w:rPr>
              <w:t>50,424</w:t>
            </w:r>
          </w:p>
        </w:tc>
        <w:tc>
          <w:tcPr>
            <w:tcW w:w="1040" w:type="dxa"/>
            <w:vAlign w:val="bottom"/>
            <w:tcBorders>
              <w:bottom w:val="single" w:sz="8" w:color="949599"/>
            </w:tcBorders>
          </w:tcPr>
          <w:p>
            <w:pPr>
              <w:jc w:val="right"/>
              <w:ind w:right="123"/>
              <w:spacing w:after="0"/>
              <w:rPr>
                <w:sz w:val="20"/>
                <w:szCs w:val="20"/>
                <w:color w:val="auto"/>
              </w:rPr>
            </w:pPr>
            <w:r>
              <w:rPr>
                <w:rFonts w:ascii="Arial" w:cs="Arial" w:eastAsia="Arial" w:hAnsi="Arial"/>
                <w:sz w:val="16"/>
                <w:szCs w:val="16"/>
                <w:color w:val="auto"/>
              </w:rPr>
              <w:t>38,600</w:t>
            </w:r>
          </w:p>
        </w:tc>
        <w:tc>
          <w:tcPr>
            <w:tcW w:w="640" w:type="dxa"/>
            <w:vAlign w:val="bottom"/>
            <w:tcBorders>
              <w:bottom w:val="single" w:sz="8" w:color="949599"/>
            </w:tcBorders>
          </w:tcPr>
          <w:p>
            <w:pPr>
              <w:jc w:val="right"/>
              <w:ind w:right="23"/>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949599"/>
            </w:tcBorders>
          </w:tcPr>
          <w:p>
            <w:pPr>
              <w:jc w:val="right"/>
              <w:ind w:right="24"/>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949599"/>
            </w:tcBorders>
          </w:tcPr>
          <w:p>
            <w:pPr>
              <w:jc w:val="right"/>
              <w:ind w:right="104"/>
              <w:spacing w:after="0"/>
              <w:rPr>
                <w:sz w:val="20"/>
                <w:szCs w:val="20"/>
                <w:color w:val="auto"/>
              </w:rPr>
            </w:pPr>
            <w:r>
              <w:rPr>
                <w:rFonts w:ascii="Arial" w:cs="Arial" w:eastAsia="Arial" w:hAnsi="Arial"/>
                <w:sz w:val="16"/>
                <w:szCs w:val="16"/>
                <w:color w:val="auto"/>
              </w:rPr>
              <w:t>1,528,001</w:t>
            </w:r>
          </w:p>
        </w:tc>
        <w:tc>
          <w:tcPr>
            <w:tcW w:w="96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2,531,545</w:t>
            </w:r>
          </w:p>
        </w:tc>
        <w:tc>
          <w:tcPr>
            <w:tcW w:w="0" w:type="dxa"/>
            <w:vAlign w:val="bottom"/>
          </w:tcPr>
          <w:p>
            <w:pPr>
              <w:spacing w:after="0"/>
              <w:rPr>
                <w:sz w:val="1"/>
                <w:szCs w:val="1"/>
                <w:color w:val="auto"/>
              </w:rPr>
            </w:pPr>
          </w:p>
        </w:tc>
      </w:tr>
      <w:tr>
        <w:trPr>
          <w:trHeight w:val="246"/>
        </w:trPr>
        <w:tc>
          <w:tcPr>
            <w:tcW w:w="27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009A4B"/>
              </w:rPr>
              <w:t>Samir J. Serhan</w:t>
            </w:r>
          </w:p>
        </w:tc>
        <w:tc>
          <w:tcPr>
            <w:tcW w:w="1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1,330,000</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598,500</w:t>
            </w:r>
          </w:p>
        </w:tc>
        <w:tc>
          <w:tcPr>
            <w:tcW w:w="96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61,592</w:t>
            </w:r>
          </w:p>
        </w:tc>
        <w:tc>
          <w:tcPr>
            <w:tcW w:w="104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38,600</w:t>
            </w:r>
          </w:p>
        </w:tc>
        <w:tc>
          <w:tcPr>
            <w:tcW w:w="6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2,822,740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3,906,817</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300" w:hanging="294"/>
        <w:spacing w:after="0"/>
        <w:tabs>
          <w:tab w:leader="none" w:pos="300" w:val="left"/>
        </w:tabs>
        <w:numPr>
          <w:ilvl w:val="0"/>
          <w:numId w:val="68"/>
        </w:numPr>
        <w:rPr>
          <w:rFonts w:ascii="Arial" w:cs="Arial" w:eastAsia="Arial" w:hAnsi="Arial"/>
          <w:sz w:val="24"/>
          <w:szCs w:val="24"/>
          <w:color w:val="auto"/>
          <w:vertAlign w:val="superscript"/>
        </w:rPr>
      </w:pPr>
      <w:r>
        <w:rPr>
          <w:rFonts w:ascii="Arial" w:cs="Arial" w:eastAsia="Arial" w:hAnsi="Arial"/>
          <w:sz w:val="14"/>
          <w:szCs w:val="14"/>
          <w:color w:val="auto"/>
        </w:rPr>
        <w:t>Includes payment in lieu of Company contributions and credits under the RSP and Deferred Compensation Plan for Mr. Ghasemi, Ms. Schaeffer, Mr. Major and Dr. Serhan.</w:t>
      </w:r>
    </w:p>
    <w:p>
      <w:pPr>
        <w:spacing w:after="0" w:line="95" w:lineRule="exact"/>
        <w:rPr>
          <w:rFonts w:ascii="Arial" w:cs="Arial" w:eastAsia="Arial" w:hAnsi="Arial"/>
          <w:sz w:val="24"/>
          <w:szCs w:val="24"/>
          <w:color w:val="auto"/>
          <w:vertAlign w:val="superscript"/>
        </w:rPr>
      </w:pPr>
    </w:p>
    <w:p>
      <w:pPr>
        <w:ind w:left="300" w:right="220" w:hanging="294"/>
        <w:spacing w:after="0" w:line="181" w:lineRule="auto"/>
        <w:tabs>
          <w:tab w:leader="none" w:pos="300" w:val="left"/>
        </w:tabs>
        <w:numPr>
          <w:ilvl w:val="0"/>
          <w:numId w:val="68"/>
        </w:numPr>
        <w:rPr>
          <w:rFonts w:ascii="Arial" w:cs="Arial" w:eastAsia="Arial" w:hAnsi="Arial"/>
          <w:sz w:val="24"/>
          <w:szCs w:val="24"/>
          <w:color w:val="auto"/>
          <w:vertAlign w:val="superscript"/>
        </w:rPr>
      </w:pPr>
      <w:r>
        <w:rPr>
          <w:rFonts w:ascii="Arial" w:cs="Arial" w:eastAsia="Arial" w:hAnsi="Arial"/>
          <w:sz w:val="14"/>
          <w:szCs w:val="14"/>
          <w:color w:val="auto"/>
        </w:rPr>
        <w:t>Includes the value of outplacement benefits estimated based on current arrangements for these services and the cost of COBRA payments for the Company’s medical and dental plans.</w:t>
      </w:r>
    </w:p>
    <w:p>
      <w:pPr>
        <w:ind w:left="300" w:hanging="294"/>
        <w:spacing w:after="0" w:line="231" w:lineRule="auto"/>
        <w:tabs>
          <w:tab w:leader="none" w:pos="300" w:val="left"/>
        </w:tabs>
        <w:numPr>
          <w:ilvl w:val="0"/>
          <w:numId w:val="68"/>
        </w:numPr>
        <w:rPr>
          <w:rFonts w:ascii="Arial" w:cs="Arial" w:eastAsia="Arial" w:hAnsi="Arial"/>
          <w:sz w:val="24"/>
          <w:szCs w:val="24"/>
          <w:color w:val="auto"/>
          <w:vertAlign w:val="superscript"/>
        </w:rPr>
      </w:pPr>
      <w:r>
        <w:rPr>
          <w:rFonts w:ascii="Arial" w:cs="Arial" w:eastAsia="Arial" w:hAnsi="Arial"/>
          <w:sz w:val="14"/>
          <w:szCs w:val="14"/>
          <w:color w:val="auto"/>
        </w:rPr>
        <w:t>These amounts reflect the value of RSUs, such as four-year RSUs and special recruiting and retention grants, and dividend equivalents thereon.</w:t>
      </w:r>
    </w:p>
    <w:p>
      <w:pPr>
        <w:spacing w:after="0" w:line="96" w:lineRule="exact"/>
        <w:rPr>
          <w:rFonts w:ascii="Arial" w:cs="Arial" w:eastAsia="Arial" w:hAnsi="Arial"/>
          <w:sz w:val="24"/>
          <w:szCs w:val="24"/>
          <w:color w:val="auto"/>
          <w:vertAlign w:val="superscript"/>
        </w:rPr>
      </w:pPr>
    </w:p>
    <w:p>
      <w:pPr>
        <w:ind w:left="300" w:right="760" w:hanging="294"/>
        <w:spacing w:after="0" w:line="181" w:lineRule="auto"/>
        <w:tabs>
          <w:tab w:leader="none" w:pos="300" w:val="left"/>
        </w:tabs>
        <w:numPr>
          <w:ilvl w:val="0"/>
          <w:numId w:val="68"/>
        </w:numPr>
        <w:rPr>
          <w:rFonts w:ascii="Arial" w:cs="Arial" w:eastAsia="Arial" w:hAnsi="Arial"/>
          <w:sz w:val="24"/>
          <w:szCs w:val="24"/>
          <w:color w:val="auto"/>
          <w:vertAlign w:val="superscript"/>
        </w:rPr>
      </w:pPr>
      <w:r>
        <w:rPr>
          <w:rFonts w:ascii="Arial" w:cs="Arial" w:eastAsia="Arial" w:hAnsi="Arial"/>
          <w:sz w:val="14"/>
          <w:szCs w:val="14"/>
          <w:color w:val="auto"/>
        </w:rPr>
        <w:t>Performance shares are reflected at the actual payout level for fiscal 2019 grants and at target payout level for fiscal 2020 and fiscal 2021 grants. Amounts include accumulated dividend equivalents.</w:t>
      </w:r>
    </w:p>
    <w:p>
      <w:pPr>
        <w:ind w:left="300" w:hanging="294"/>
        <w:spacing w:after="0" w:line="231" w:lineRule="auto"/>
        <w:tabs>
          <w:tab w:leader="none" w:pos="300" w:val="left"/>
        </w:tabs>
        <w:numPr>
          <w:ilvl w:val="0"/>
          <w:numId w:val="68"/>
        </w:numPr>
        <w:rPr>
          <w:rFonts w:ascii="Arial" w:cs="Arial" w:eastAsia="Arial" w:hAnsi="Arial"/>
          <w:sz w:val="24"/>
          <w:szCs w:val="24"/>
          <w:color w:val="auto"/>
          <w:vertAlign w:val="superscript"/>
        </w:rPr>
      </w:pPr>
      <w:r>
        <w:rPr>
          <w:rFonts w:ascii="Arial" w:cs="Arial" w:eastAsia="Arial" w:hAnsi="Arial"/>
          <w:sz w:val="14"/>
          <w:szCs w:val="14"/>
          <w:color w:val="auto"/>
        </w:rPr>
        <w:t>Values of Mr. Ghasemi’s long-term incentive awards that would have vested upon his voluntary termination due to retirement eligibility are not shown.</w:t>
      </w:r>
    </w:p>
    <w:p>
      <w:pPr>
        <w:spacing w:after="0" w:line="96" w:lineRule="exact"/>
        <w:rPr>
          <w:rFonts w:ascii="Arial" w:cs="Arial" w:eastAsia="Arial" w:hAnsi="Arial"/>
          <w:sz w:val="24"/>
          <w:szCs w:val="24"/>
          <w:color w:val="auto"/>
          <w:vertAlign w:val="superscript"/>
        </w:rPr>
      </w:pPr>
    </w:p>
    <w:p>
      <w:pPr>
        <w:ind w:left="300" w:hanging="294"/>
        <w:spacing w:after="0" w:line="187" w:lineRule="auto"/>
        <w:tabs>
          <w:tab w:leader="none" w:pos="300" w:val="left"/>
        </w:tabs>
        <w:numPr>
          <w:ilvl w:val="0"/>
          <w:numId w:val="68"/>
        </w:numPr>
        <w:rPr>
          <w:rFonts w:ascii="Arial" w:cs="Arial" w:eastAsia="Arial" w:hAnsi="Arial"/>
          <w:sz w:val="19"/>
          <w:szCs w:val="19"/>
          <w:color w:val="auto"/>
          <w:vertAlign w:val="superscript"/>
        </w:rPr>
      </w:pPr>
      <w:r>
        <w:rPr>
          <w:rFonts w:ascii="Arial" w:cs="Arial" w:eastAsia="Arial" w:hAnsi="Arial"/>
          <w:sz w:val="12"/>
          <w:szCs w:val="12"/>
          <w:color w:val="auto"/>
        </w:rPr>
        <w:t>Mr. Crocco retired from the Company on September 30, 2021.</w:t>
      </w:r>
    </w:p>
    <w:p>
      <w:pPr>
        <w:spacing w:after="0" w:line="141" w:lineRule="exact"/>
        <w:rPr>
          <w:sz w:val="20"/>
          <w:szCs w:val="20"/>
          <w:color w:val="auto"/>
        </w:rPr>
      </w:pPr>
    </w:p>
    <w:p>
      <w:pPr>
        <w:spacing w:after="0"/>
        <w:rPr>
          <w:sz w:val="20"/>
          <w:szCs w:val="20"/>
          <w:color w:val="auto"/>
        </w:rPr>
      </w:pPr>
      <w:r>
        <w:rPr>
          <w:rFonts w:ascii="Arial" w:cs="Arial" w:eastAsia="Arial" w:hAnsi="Arial"/>
          <w:sz w:val="28"/>
          <w:szCs w:val="28"/>
          <w:color w:val="009A4B"/>
        </w:rPr>
        <w:t>Termination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225" cy="17145"/>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36" w:lineRule="exact"/>
        <w:rPr>
          <w:sz w:val="20"/>
          <w:szCs w:val="20"/>
          <w:color w:val="auto"/>
        </w:rPr>
      </w:pPr>
    </w:p>
    <w:p>
      <w:pPr>
        <w:ind w:right="300"/>
        <w:spacing w:after="0" w:line="254" w:lineRule="auto"/>
        <w:rPr>
          <w:sz w:val="20"/>
          <w:szCs w:val="20"/>
          <w:color w:val="auto"/>
        </w:rPr>
      </w:pPr>
      <w:r>
        <w:rPr>
          <w:rFonts w:ascii="Arial" w:cs="Arial" w:eastAsia="Arial" w:hAnsi="Arial"/>
          <w:sz w:val="16"/>
          <w:szCs w:val="16"/>
          <w:color w:val="auto"/>
        </w:rPr>
        <w:t>Upon involuntary termination for “cause” (as such term is defined on page 55), executive officers receive only unpaid salary and accrued vacation, qualified and nonqualified pension and deferred compensation.</w:t>
      </w:r>
    </w:p>
    <w:p>
      <w:pPr>
        <w:spacing w:after="0" w:line="190" w:lineRule="exact"/>
        <w:rPr>
          <w:sz w:val="20"/>
          <w:szCs w:val="20"/>
          <w:color w:val="auto"/>
        </w:rPr>
      </w:pPr>
    </w:p>
    <w:p>
      <w:pPr>
        <w:spacing w:after="0"/>
        <w:rPr>
          <w:sz w:val="20"/>
          <w:szCs w:val="20"/>
          <w:color w:val="auto"/>
        </w:rPr>
      </w:pPr>
      <w:r>
        <w:rPr>
          <w:rFonts w:ascii="Arial" w:cs="Arial" w:eastAsia="Arial" w:hAnsi="Arial"/>
          <w:sz w:val="28"/>
          <w:szCs w:val="28"/>
          <w:color w:val="009A4B"/>
        </w:rPr>
        <w:t>Termination Due to Death or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225" cy="17145"/>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36"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Upon termination due to death or disability of an executive officer, in addition to insurance, continuation of medical benefits and other benefits provided to all salaried employees and their families to help with these circumstances, the Long-Term Incentive Plan has provisions that provide continued vesting or accelerated payout of equity awards as follows:</w:t>
      </w:r>
    </w:p>
    <w:p>
      <w:pPr>
        <w:spacing w:after="0" w:line="148" w:lineRule="exact"/>
        <w:rPr>
          <w:sz w:val="20"/>
          <w:szCs w:val="20"/>
          <w:color w:val="auto"/>
        </w:rPr>
      </w:pPr>
    </w:p>
    <w:p>
      <w:pPr>
        <w:ind w:left="440" w:right="80" w:hanging="247"/>
        <w:spacing w:after="0" w:line="254" w:lineRule="auto"/>
        <w:tabs>
          <w:tab w:leader="none" w:pos="440" w:val="left"/>
        </w:tabs>
        <w:numPr>
          <w:ilvl w:val="0"/>
          <w:numId w:val="69"/>
        </w:numPr>
        <w:rPr>
          <w:rFonts w:ascii="Arial" w:cs="Arial" w:eastAsia="Arial" w:hAnsi="Arial"/>
          <w:sz w:val="16"/>
          <w:szCs w:val="16"/>
          <w:color w:val="009A4B"/>
        </w:rPr>
      </w:pPr>
      <w:r>
        <w:rPr>
          <w:rFonts w:ascii="Arial" w:cs="Arial" w:eastAsia="Arial" w:hAnsi="Arial"/>
          <w:sz w:val="16"/>
          <w:szCs w:val="16"/>
          <w:color w:val="auto"/>
        </w:rPr>
        <w:t>All stock options that have been outstanding for at least a year at the time of termination continue to be and become exercisable on the normal schedule as if the employee had remained employed. All other stock options are forfeited.</w:t>
      </w:r>
    </w:p>
    <w:p>
      <w:pPr>
        <w:spacing w:after="0" w:line="89" w:lineRule="exact"/>
        <w:rPr>
          <w:rFonts w:ascii="Arial" w:cs="Arial" w:eastAsia="Arial" w:hAnsi="Arial"/>
          <w:sz w:val="16"/>
          <w:szCs w:val="16"/>
          <w:color w:val="009A4B"/>
        </w:rPr>
      </w:pPr>
    </w:p>
    <w:p>
      <w:pPr>
        <w:ind w:left="440" w:right="20" w:hanging="247"/>
        <w:spacing w:after="0" w:line="254" w:lineRule="auto"/>
        <w:tabs>
          <w:tab w:leader="none" w:pos="440" w:val="left"/>
        </w:tabs>
        <w:numPr>
          <w:ilvl w:val="0"/>
          <w:numId w:val="69"/>
        </w:numPr>
        <w:rPr>
          <w:rFonts w:ascii="Arial" w:cs="Arial" w:eastAsia="Arial" w:hAnsi="Arial"/>
          <w:sz w:val="16"/>
          <w:szCs w:val="16"/>
          <w:color w:val="009A4B"/>
        </w:rPr>
      </w:pPr>
      <w:r>
        <w:rPr>
          <w:rFonts w:ascii="Arial" w:cs="Arial" w:eastAsia="Arial" w:hAnsi="Arial"/>
          <w:sz w:val="16"/>
          <w:szCs w:val="16"/>
          <w:color w:val="auto"/>
        </w:rPr>
        <w:t>All earned but deferred performance shares, all career-vesting deferred stock units and retention and recruiting grants of deferred stock units outstanding more than one year are paid out.</w:t>
      </w:r>
    </w:p>
    <w:p>
      <w:pPr>
        <w:spacing w:after="0" w:line="89" w:lineRule="exact"/>
        <w:rPr>
          <w:rFonts w:ascii="Arial" w:cs="Arial" w:eastAsia="Arial" w:hAnsi="Arial"/>
          <w:sz w:val="16"/>
          <w:szCs w:val="16"/>
          <w:color w:val="009A4B"/>
        </w:rPr>
      </w:pPr>
    </w:p>
    <w:p>
      <w:pPr>
        <w:ind w:left="440" w:right="520" w:hanging="247"/>
        <w:spacing w:after="0" w:line="254" w:lineRule="auto"/>
        <w:tabs>
          <w:tab w:leader="none" w:pos="440" w:val="left"/>
        </w:tabs>
        <w:numPr>
          <w:ilvl w:val="0"/>
          <w:numId w:val="69"/>
        </w:numPr>
        <w:rPr>
          <w:rFonts w:ascii="Arial" w:cs="Arial" w:eastAsia="Arial" w:hAnsi="Arial"/>
          <w:sz w:val="16"/>
          <w:szCs w:val="16"/>
          <w:color w:val="009A4B"/>
        </w:rPr>
      </w:pPr>
      <w:r>
        <w:rPr>
          <w:rFonts w:ascii="Arial" w:cs="Arial" w:eastAsia="Arial" w:hAnsi="Arial"/>
          <w:sz w:val="16"/>
          <w:szCs w:val="16"/>
          <w:color w:val="auto"/>
        </w:rPr>
        <w:t>A prorated portion of unearned performance shares outstanding for at least one year continues to earn out and be payable as if the employee had remained employed. All other unearned performance shares are forfeited.</w:t>
      </w:r>
    </w:p>
    <w:p>
      <w:pPr>
        <w:spacing w:after="0" w:line="89" w:lineRule="exact"/>
        <w:rPr>
          <w:rFonts w:ascii="Arial" w:cs="Arial" w:eastAsia="Arial" w:hAnsi="Arial"/>
          <w:sz w:val="16"/>
          <w:szCs w:val="16"/>
          <w:color w:val="009A4B"/>
        </w:rPr>
      </w:pPr>
    </w:p>
    <w:p>
      <w:pPr>
        <w:ind w:left="440" w:hanging="247"/>
        <w:spacing w:after="0"/>
        <w:tabs>
          <w:tab w:leader="none" w:pos="440" w:val="left"/>
        </w:tabs>
        <w:numPr>
          <w:ilvl w:val="0"/>
          <w:numId w:val="69"/>
        </w:numPr>
        <w:rPr>
          <w:rFonts w:ascii="Arial" w:cs="Arial" w:eastAsia="Arial" w:hAnsi="Arial"/>
          <w:sz w:val="16"/>
          <w:szCs w:val="16"/>
          <w:color w:val="009A4B"/>
        </w:rPr>
      </w:pPr>
      <w:r>
        <w:rPr>
          <w:rFonts w:ascii="Arial" w:cs="Arial" w:eastAsia="Arial" w:hAnsi="Arial"/>
          <w:sz w:val="16"/>
          <w:szCs w:val="16"/>
          <w:color w:val="auto"/>
        </w:rPr>
        <w:t>Executive officers or their beneficiaries may also receive an Annual Incentive Plan award at the discretion of the Committee.</w:t>
      </w:r>
    </w:p>
    <w:p>
      <w:pPr>
        <w:spacing w:after="0" w:line="175"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In addition, Mr. Ghasemi’s Employment Agreement provides that upon his termination of employment due to death or disability, his Long-Term Incentive Plan awards will continue to vest as if he remained employed and he will receive a prorated Annual Incentive Award.</w:t>
      </w:r>
    </w:p>
    <w:p>
      <w:pPr>
        <w:spacing w:after="0" w:line="12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7155180" cy="20955"/>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28"/>
          <w:szCs w:val="28"/>
          <w:color w:val="009A4B"/>
        </w:rPr>
        <w:t>Change in Control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225" cy="17145"/>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36"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auto"/>
        </w:rPr>
        <w:t>The Company provides individual change in control severance agreements for all of the executive officers. For purposes of the agreements, a change in control occurs upon a 30% stock acquisition by a person not controlled by the Company, a greater than 50% change in membership on the Board during any two-year period unless approved by two-thirds of directors still in office who were directors at the beginning of the period, consummation of a business reorganization, merger, consolidation or other corporate transaction that results in the Company’s shareholders owning less than 50% of the surviving entity, or shareholder approval of a plan of liquidation or sale of substantially all of the Company’s assets.</w:t>
      </w:r>
    </w:p>
    <w:p>
      <w:pPr>
        <w:spacing w:after="0" w:line="15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severance agreements give each executive officer specific rights and certain benefits if, within two years after a change in control, his or her employment is terminated by the Company without “cause” or he or she terminates employment for “good reason” (as each term is described below). In such circumstances the executive officer would be entitled to:</w:t>
      </w:r>
    </w:p>
    <w:p>
      <w:pPr>
        <w:spacing w:after="0" w:line="148" w:lineRule="exact"/>
        <w:rPr>
          <w:sz w:val="20"/>
          <w:szCs w:val="20"/>
          <w:color w:val="auto"/>
        </w:rPr>
      </w:pPr>
    </w:p>
    <w:p>
      <w:pPr>
        <w:ind w:left="440" w:hanging="247"/>
        <w:spacing w:after="0"/>
        <w:tabs>
          <w:tab w:leader="none" w:pos="440" w:val="left"/>
        </w:tabs>
        <w:numPr>
          <w:ilvl w:val="0"/>
          <w:numId w:val="70"/>
        </w:numPr>
        <w:rPr>
          <w:rFonts w:ascii="Arial" w:cs="Arial" w:eastAsia="Arial" w:hAnsi="Arial"/>
          <w:sz w:val="16"/>
          <w:szCs w:val="16"/>
          <w:color w:val="009A4B"/>
        </w:rPr>
      </w:pPr>
      <w:r>
        <w:rPr>
          <w:rFonts w:ascii="Arial" w:cs="Arial" w:eastAsia="Arial" w:hAnsi="Arial"/>
          <w:sz w:val="16"/>
          <w:szCs w:val="16"/>
          <w:color w:val="auto"/>
        </w:rPr>
        <w:t>a cash severance payment equal to two (three for Mr. Ghasemi) times the sum of annual base salary and target bonus under the Annual Incentive Plan;</w:t>
      </w:r>
    </w:p>
    <w:p>
      <w:pPr>
        <w:spacing w:after="0" w:line="122" w:lineRule="exact"/>
        <w:rPr>
          <w:rFonts w:ascii="Arial" w:cs="Arial" w:eastAsia="Arial" w:hAnsi="Arial"/>
          <w:sz w:val="16"/>
          <w:szCs w:val="16"/>
          <w:color w:val="009A4B"/>
        </w:rPr>
      </w:pPr>
    </w:p>
    <w:p>
      <w:pPr>
        <w:ind w:left="440" w:hanging="247"/>
        <w:spacing w:after="0"/>
        <w:tabs>
          <w:tab w:leader="none" w:pos="440" w:val="left"/>
        </w:tabs>
        <w:numPr>
          <w:ilvl w:val="0"/>
          <w:numId w:val="70"/>
        </w:numPr>
        <w:rPr>
          <w:rFonts w:ascii="Arial" w:cs="Arial" w:eastAsia="Arial" w:hAnsi="Arial"/>
          <w:sz w:val="16"/>
          <w:szCs w:val="16"/>
          <w:color w:val="009A4B"/>
        </w:rPr>
      </w:pPr>
      <w:r>
        <w:rPr>
          <w:rFonts w:ascii="Arial" w:cs="Arial" w:eastAsia="Arial" w:hAnsi="Arial"/>
          <w:sz w:val="16"/>
          <w:szCs w:val="16"/>
          <w:color w:val="auto"/>
        </w:rPr>
        <w:t>a cash payment of a pro-rata target bonus for the year;</w:t>
      </w:r>
    </w:p>
    <w:p>
      <w:pPr>
        <w:spacing w:after="0" w:line="122" w:lineRule="exact"/>
        <w:rPr>
          <w:rFonts w:ascii="Arial" w:cs="Arial" w:eastAsia="Arial" w:hAnsi="Arial"/>
          <w:sz w:val="16"/>
          <w:szCs w:val="16"/>
          <w:color w:val="009A4B"/>
        </w:rPr>
      </w:pPr>
    </w:p>
    <w:p>
      <w:pPr>
        <w:ind w:left="440" w:right="380" w:hanging="247"/>
        <w:spacing w:after="0" w:line="254" w:lineRule="auto"/>
        <w:tabs>
          <w:tab w:leader="none" w:pos="440" w:val="left"/>
        </w:tabs>
        <w:numPr>
          <w:ilvl w:val="0"/>
          <w:numId w:val="70"/>
        </w:numPr>
        <w:rPr>
          <w:rFonts w:ascii="Arial" w:cs="Arial" w:eastAsia="Arial" w:hAnsi="Arial"/>
          <w:sz w:val="16"/>
          <w:szCs w:val="16"/>
          <w:color w:val="009A4B"/>
        </w:rPr>
      </w:pPr>
      <w:r>
        <w:rPr>
          <w:rFonts w:ascii="Arial" w:cs="Arial" w:eastAsia="Arial" w:hAnsi="Arial"/>
          <w:sz w:val="16"/>
          <w:szCs w:val="16"/>
          <w:color w:val="auto"/>
        </w:rPr>
        <w:t>a cash payment equal to two (three for Mr. Ghasemi) times the value for the most recent fiscal year of the Company’s matching contributions and/or credits for the executive officer under the RSP and the Deferred Compensation Plan;</w:t>
      </w:r>
    </w:p>
    <w:p>
      <w:pPr>
        <w:spacing w:after="0" w:line="89" w:lineRule="exact"/>
        <w:rPr>
          <w:rFonts w:ascii="Arial" w:cs="Arial" w:eastAsia="Arial" w:hAnsi="Arial"/>
          <w:sz w:val="16"/>
          <w:szCs w:val="16"/>
          <w:color w:val="009A4B"/>
        </w:rPr>
      </w:pPr>
    </w:p>
    <w:p>
      <w:pPr>
        <w:ind w:left="440" w:right="20" w:hanging="247"/>
        <w:spacing w:after="0" w:line="245" w:lineRule="auto"/>
        <w:tabs>
          <w:tab w:leader="none" w:pos="440" w:val="left"/>
        </w:tabs>
        <w:numPr>
          <w:ilvl w:val="0"/>
          <w:numId w:val="70"/>
        </w:numPr>
        <w:rPr>
          <w:rFonts w:ascii="Arial" w:cs="Arial" w:eastAsia="Arial" w:hAnsi="Arial"/>
          <w:sz w:val="16"/>
          <w:szCs w:val="16"/>
          <w:color w:val="009A4B"/>
        </w:rPr>
      </w:pPr>
      <w:r>
        <w:rPr>
          <w:rFonts w:ascii="Arial" w:cs="Arial" w:eastAsia="Arial" w:hAnsi="Arial"/>
          <w:sz w:val="16"/>
          <w:szCs w:val="16"/>
          <w:color w:val="auto"/>
        </w:rPr>
        <w:t>for each of Mr. Ghasemi, Ms. Schaeffer, Mr. Major and Dr. Serhan, a cash payment equal to the additional primary retirement benefit contributions and credits he would have received under the RSP and the Deferred Compensation Plan, respectively, in the case of Mr. Ghasemi, had he remained employed for an additional three years and, in the case of Ms. Schaeffer, Mr. Major and Dr. Serhan, two years, in each case at the same base salary and the higher of the executive officer’s most recent Annual Incentive Plan award or the average such award for the three full fiscal years preceding the change in control;</w:t>
      </w:r>
    </w:p>
    <w:p>
      <w:pPr>
        <w:spacing w:after="0" w:line="99" w:lineRule="exact"/>
        <w:rPr>
          <w:rFonts w:ascii="Arial" w:cs="Arial" w:eastAsia="Arial" w:hAnsi="Arial"/>
          <w:sz w:val="16"/>
          <w:szCs w:val="16"/>
          <w:color w:val="009A4B"/>
        </w:rPr>
      </w:pPr>
    </w:p>
    <w:p>
      <w:pPr>
        <w:ind w:left="440" w:right="280" w:hanging="247"/>
        <w:spacing w:after="0" w:line="254" w:lineRule="auto"/>
        <w:tabs>
          <w:tab w:leader="none" w:pos="440" w:val="left"/>
        </w:tabs>
        <w:numPr>
          <w:ilvl w:val="0"/>
          <w:numId w:val="70"/>
        </w:numPr>
        <w:rPr>
          <w:rFonts w:ascii="Arial" w:cs="Arial" w:eastAsia="Arial" w:hAnsi="Arial"/>
          <w:sz w:val="16"/>
          <w:szCs w:val="16"/>
          <w:color w:val="009A4B"/>
        </w:rPr>
      </w:pPr>
      <w:r>
        <w:rPr>
          <w:rFonts w:ascii="Arial" w:cs="Arial" w:eastAsia="Arial" w:hAnsi="Arial"/>
          <w:sz w:val="16"/>
          <w:szCs w:val="16"/>
          <w:color w:val="auto"/>
        </w:rPr>
        <w:t>continuation of medical, dental, health and accident disability and life insurance benefits for a period of up to two years (three years in the case of Mr. Ghasemi), and provision of outplacement services and certain legal fees; and</w:t>
      </w:r>
    </w:p>
    <w:p>
      <w:pPr>
        <w:spacing w:after="0" w:line="89" w:lineRule="exact"/>
        <w:rPr>
          <w:rFonts w:ascii="Arial" w:cs="Arial" w:eastAsia="Arial" w:hAnsi="Arial"/>
          <w:sz w:val="16"/>
          <w:szCs w:val="16"/>
          <w:color w:val="009A4B"/>
        </w:rPr>
      </w:pPr>
    </w:p>
    <w:p>
      <w:pPr>
        <w:ind w:left="440" w:hanging="247"/>
        <w:spacing w:after="0"/>
        <w:tabs>
          <w:tab w:leader="none" w:pos="440" w:val="left"/>
        </w:tabs>
        <w:numPr>
          <w:ilvl w:val="0"/>
          <w:numId w:val="70"/>
        </w:numPr>
        <w:rPr>
          <w:rFonts w:ascii="Arial" w:cs="Arial" w:eastAsia="Arial" w:hAnsi="Arial"/>
          <w:sz w:val="16"/>
          <w:szCs w:val="16"/>
          <w:color w:val="009A4B"/>
        </w:rPr>
      </w:pPr>
      <w:r>
        <w:rPr>
          <w:rFonts w:ascii="Arial" w:cs="Arial" w:eastAsia="Arial" w:hAnsi="Arial"/>
          <w:sz w:val="16"/>
          <w:szCs w:val="16"/>
          <w:color w:val="auto"/>
        </w:rPr>
        <w:t>indemnification if he becomes involved in litigation because he is a party to the agreement.</w:t>
      </w:r>
    </w:p>
    <w:p>
      <w:pPr>
        <w:spacing w:after="0" w:line="175" w:lineRule="exact"/>
        <w:rPr>
          <w:sz w:val="20"/>
          <w:szCs w:val="20"/>
          <w:color w:val="auto"/>
        </w:rPr>
      </w:pPr>
    </w:p>
    <w:p>
      <w:pPr>
        <w:ind w:right="260"/>
        <w:spacing w:after="0" w:line="254" w:lineRule="auto"/>
        <w:rPr>
          <w:sz w:val="20"/>
          <w:szCs w:val="20"/>
          <w:color w:val="auto"/>
        </w:rPr>
      </w:pPr>
      <w:r>
        <w:rPr>
          <w:rFonts w:ascii="Arial" w:cs="Arial" w:eastAsia="Arial" w:hAnsi="Arial"/>
          <w:sz w:val="16"/>
          <w:szCs w:val="16"/>
          <w:color w:val="auto"/>
        </w:rPr>
        <w:t>The payments referenced in the first, third, fourth and fifth bullets above will be reduced each month on a pro-rated basis when the named executive officer, other than Mr. Ghasemi, is between the ages of 63 and 65.</w:t>
      </w:r>
    </w:p>
    <w:p>
      <w:pPr>
        <w:spacing w:after="0" w:line="143" w:lineRule="exact"/>
        <w:rPr>
          <w:sz w:val="20"/>
          <w:szCs w:val="20"/>
          <w:color w:val="auto"/>
        </w:rPr>
      </w:pPr>
    </w:p>
    <w:p>
      <w:pPr>
        <w:ind w:right="460"/>
        <w:spacing w:after="0" w:line="254" w:lineRule="auto"/>
        <w:rPr>
          <w:sz w:val="20"/>
          <w:szCs w:val="20"/>
          <w:color w:val="auto"/>
        </w:rPr>
      </w:pPr>
      <w:r>
        <w:rPr>
          <w:rFonts w:ascii="Arial" w:cs="Arial" w:eastAsia="Arial" w:hAnsi="Arial"/>
          <w:sz w:val="16"/>
          <w:szCs w:val="16"/>
          <w:color w:val="auto"/>
        </w:rPr>
        <w:t>A termination for “cause” occurs under the agreements upon the executive officer’s continued willful failure to perform duties or willful misconduct. “Good reason” includes:</w:t>
      </w:r>
    </w:p>
    <w:p>
      <w:pPr>
        <w:spacing w:after="0" w:line="143" w:lineRule="exact"/>
        <w:rPr>
          <w:sz w:val="20"/>
          <w:szCs w:val="20"/>
          <w:color w:val="auto"/>
        </w:rPr>
      </w:pPr>
    </w:p>
    <w:p>
      <w:pPr>
        <w:ind w:left="440" w:hanging="247"/>
        <w:spacing w:after="0"/>
        <w:tabs>
          <w:tab w:leader="none" w:pos="440" w:val="left"/>
        </w:tabs>
        <w:numPr>
          <w:ilvl w:val="0"/>
          <w:numId w:val="71"/>
        </w:numPr>
        <w:rPr>
          <w:rFonts w:ascii="Arial" w:cs="Arial" w:eastAsia="Arial" w:hAnsi="Arial"/>
          <w:sz w:val="16"/>
          <w:szCs w:val="16"/>
          <w:color w:val="009A4B"/>
        </w:rPr>
      </w:pPr>
      <w:r>
        <w:rPr>
          <w:rFonts w:ascii="Arial" w:cs="Arial" w:eastAsia="Arial" w:hAnsi="Arial"/>
          <w:sz w:val="16"/>
          <w:szCs w:val="16"/>
          <w:color w:val="auto"/>
        </w:rPr>
        <w:t>a material adverse change in the executive officer’s position;</w:t>
      </w:r>
    </w:p>
    <w:p>
      <w:pPr>
        <w:spacing w:after="0" w:line="122" w:lineRule="exact"/>
        <w:rPr>
          <w:rFonts w:ascii="Arial" w:cs="Arial" w:eastAsia="Arial" w:hAnsi="Arial"/>
          <w:sz w:val="16"/>
          <w:szCs w:val="16"/>
          <w:color w:val="009A4B"/>
        </w:rPr>
      </w:pPr>
    </w:p>
    <w:p>
      <w:pPr>
        <w:ind w:left="440" w:hanging="247"/>
        <w:spacing w:after="0"/>
        <w:tabs>
          <w:tab w:leader="none" w:pos="440" w:val="left"/>
        </w:tabs>
        <w:numPr>
          <w:ilvl w:val="0"/>
          <w:numId w:val="71"/>
        </w:numPr>
        <w:rPr>
          <w:rFonts w:ascii="Arial" w:cs="Arial" w:eastAsia="Arial" w:hAnsi="Arial"/>
          <w:sz w:val="16"/>
          <w:szCs w:val="16"/>
          <w:color w:val="009A4B"/>
        </w:rPr>
      </w:pPr>
      <w:r>
        <w:rPr>
          <w:rFonts w:ascii="Arial" w:cs="Arial" w:eastAsia="Arial" w:hAnsi="Arial"/>
          <w:sz w:val="16"/>
          <w:szCs w:val="16"/>
          <w:color w:val="auto"/>
        </w:rPr>
        <w:t>a decrease in the executive officer’s salary, benefits or incentive compensation if not applied to other highly compensated employees; or</w:t>
      </w:r>
    </w:p>
    <w:p>
      <w:pPr>
        <w:spacing w:after="0" w:line="122" w:lineRule="exact"/>
        <w:rPr>
          <w:rFonts w:ascii="Arial" w:cs="Arial" w:eastAsia="Arial" w:hAnsi="Arial"/>
          <w:sz w:val="16"/>
          <w:szCs w:val="16"/>
          <w:color w:val="009A4B"/>
        </w:rPr>
      </w:pPr>
    </w:p>
    <w:p>
      <w:pPr>
        <w:ind w:left="440" w:hanging="247"/>
        <w:spacing w:after="0"/>
        <w:tabs>
          <w:tab w:leader="none" w:pos="440" w:val="left"/>
        </w:tabs>
        <w:numPr>
          <w:ilvl w:val="0"/>
          <w:numId w:val="71"/>
        </w:numPr>
        <w:rPr>
          <w:rFonts w:ascii="Arial" w:cs="Arial" w:eastAsia="Arial" w:hAnsi="Arial"/>
          <w:sz w:val="16"/>
          <w:szCs w:val="16"/>
          <w:color w:val="009A4B"/>
        </w:rPr>
      </w:pPr>
      <w:r>
        <w:rPr>
          <w:rFonts w:ascii="Arial" w:cs="Arial" w:eastAsia="Arial" w:hAnsi="Arial"/>
          <w:sz w:val="16"/>
          <w:szCs w:val="16"/>
          <w:color w:val="auto"/>
        </w:rPr>
        <w:t>relocation of the executive officer’s principal workplace by more than 50 miles from its existing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101600</wp:posOffset>
            </wp:positionV>
            <wp:extent cx="845185" cy="202565"/>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845185" cy="20256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7155180" cy="20955"/>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right="200"/>
        <w:spacing w:after="0" w:line="246" w:lineRule="auto"/>
        <w:rPr>
          <w:sz w:val="20"/>
          <w:szCs w:val="20"/>
          <w:color w:val="auto"/>
        </w:rPr>
      </w:pPr>
      <w:r>
        <w:rPr>
          <w:rFonts w:ascii="Arial" w:cs="Arial" w:eastAsia="Arial" w:hAnsi="Arial"/>
          <w:sz w:val="16"/>
          <w:szCs w:val="16"/>
          <w:color w:val="auto"/>
        </w:rPr>
        <w:t>The table below shows amounts that would be payable under the change in control severance agreements if the executive officer had been terminated on September 30, 2021 following a change in control. Mr. Crocco retired from the Company on September 30, 2021. Given that Mr. Crocco had announced his retirement in July 2021, even if a Change in Control had occurred on September 30, 2021, Mr. Crocco would not have been entitled to receive benefits as he had voluntarily terminated his employment in connection with his retirement.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jc w:val="right"/>
              <w:ind w:right="44"/>
              <w:spacing w:after="0"/>
              <w:rPr>
                <w:sz w:val="20"/>
                <w:szCs w:val="20"/>
                <w:color w:val="auto"/>
              </w:rPr>
            </w:pPr>
            <w:r>
              <w:rPr>
                <w:rFonts w:ascii="Arial" w:cs="Arial" w:eastAsia="Arial" w:hAnsi="Arial"/>
                <w:sz w:val="14"/>
                <w:szCs w:val="14"/>
                <w:b w:val="1"/>
                <w:bCs w:val="1"/>
                <w:color w:val="auto"/>
              </w:rPr>
              <w:t>Matching</w:t>
            </w:r>
          </w:p>
        </w:tc>
        <w:tc>
          <w:tcPr>
            <w:tcW w:w="130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auto"/>
              </w:rPr>
              <w:t>Retirement</w:t>
            </w:r>
          </w:p>
        </w:tc>
        <w:tc>
          <w:tcPr>
            <w:tcW w:w="1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260" w:type="dxa"/>
            <w:vAlign w:val="bottom"/>
          </w:tcPr>
          <w:p>
            <w:pPr>
              <w:spacing w:after="0"/>
              <w:rPr>
                <w:sz w:val="12"/>
                <w:szCs w:val="12"/>
                <w:color w:val="auto"/>
              </w:rPr>
            </w:pPr>
          </w:p>
        </w:tc>
        <w:tc>
          <w:tcPr>
            <w:tcW w:w="2540" w:type="dxa"/>
            <w:vAlign w:val="bottom"/>
          </w:tcPr>
          <w:p>
            <w:pPr>
              <w:jc w:val="right"/>
              <w:ind w:right="43"/>
              <w:spacing w:after="0" w:line="147" w:lineRule="exact"/>
              <w:rPr>
                <w:sz w:val="20"/>
                <w:szCs w:val="20"/>
                <w:color w:val="auto"/>
              </w:rPr>
            </w:pPr>
            <w:r>
              <w:rPr>
                <w:rFonts w:ascii="Arial" w:cs="Arial" w:eastAsia="Arial" w:hAnsi="Arial"/>
                <w:sz w:val="14"/>
                <w:szCs w:val="14"/>
                <w:b w:val="1"/>
                <w:bCs w:val="1"/>
                <w:color w:val="auto"/>
              </w:rPr>
              <w:t>Severance</w:t>
            </w:r>
          </w:p>
        </w:tc>
        <w:tc>
          <w:tcPr>
            <w:tcW w:w="940" w:type="dxa"/>
            <w:vAlign w:val="bottom"/>
          </w:tcPr>
          <w:p>
            <w:pPr>
              <w:jc w:val="right"/>
              <w:ind w:right="43"/>
              <w:spacing w:after="0" w:line="147" w:lineRule="exact"/>
              <w:rPr>
                <w:sz w:val="20"/>
                <w:szCs w:val="20"/>
                <w:color w:val="auto"/>
              </w:rPr>
            </w:pPr>
            <w:r>
              <w:rPr>
                <w:rFonts w:ascii="Arial" w:cs="Arial" w:eastAsia="Arial" w:hAnsi="Arial"/>
                <w:sz w:val="14"/>
                <w:szCs w:val="14"/>
                <w:b w:val="1"/>
                <w:bCs w:val="1"/>
                <w:color w:val="auto"/>
              </w:rPr>
              <w:t>Pro-rata</w:t>
            </w:r>
          </w:p>
        </w:tc>
        <w:tc>
          <w:tcPr>
            <w:tcW w:w="1080" w:type="dxa"/>
            <w:vAlign w:val="bottom"/>
          </w:tcPr>
          <w:p>
            <w:pPr>
              <w:jc w:val="right"/>
              <w:ind w:right="44"/>
              <w:spacing w:after="0" w:line="147" w:lineRule="exact"/>
              <w:rPr>
                <w:sz w:val="20"/>
                <w:szCs w:val="20"/>
                <w:color w:val="auto"/>
              </w:rPr>
            </w:pPr>
            <w:r>
              <w:rPr>
                <w:rFonts w:ascii="Arial" w:cs="Arial" w:eastAsia="Arial" w:hAnsi="Arial"/>
                <w:sz w:val="14"/>
                <w:szCs w:val="14"/>
                <w:b w:val="1"/>
                <w:bCs w:val="1"/>
                <w:color w:val="auto"/>
              </w:rPr>
              <w:t>Contribution</w:t>
            </w:r>
          </w:p>
        </w:tc>
        <w:tc>
          <w:tcPr>
            <w:tcW w:w="1300" w:type="dxa"/>
            <w:vAlign w:val="bottom"/>
            <w:vMerge w:val="continue"/>
          </w:tcPr>
          <w:p>
            <w:pPr>
              <w:spacing w:after="0"/>
              <w:rPr>
                <w:sz w:val="12"/>
                <w:szCs w:val="12"/>
                <w:color w:val="auto"/>
              </w:rPr>
            </w:pPr>
          </w:p>
        </w:tc>
        <w:tc>
          <w:tcPr>
            <w:tcW w:w="1220" w:type="dxa"/>
            <w:vAlign w:val="bottom"/>
          </w:tcPr>
          <w:p>
            <w:pPr>
              <w:jc w:val="right"/>
              <w:ind w:right="43"/>
              <w:spacing w:after="0" w:line="147" w:lineRule="exact"/>
              <w:rPr>
                <w:sz w:val="20"/>
                <w:szCs w:val="20"/>
                <w:color w:val="auto"/>
              </w:rPr>
            </w:pPr>
            <w:r>
              <w:rPr>
                <w:rFonts w:ascii="Arial" w:cs="Arial" w:eastAsia="Arial" w:hAnsi="Arial"/>
                <w:sz w:val="14"/>
                <w:szCs w:val="14"/>
                <w:b w:val="1"/>
                <w:bCs w:val="1"/>
                <w:color w:val="auto"/>
              </w:rPr>
              <w:t>Outplacement/</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Benefits</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2540" w:type="dxa"/>
            <w:vAlign w:val="bottom"/>
          </w:tcPr>
          <w:p>
            <w:pPr>
              <w:jc w:val="right"/>
              <w:ind w:right="43"/>
              <w:spacing w:after="0"/>
              <w:rPr>
                <w:sz w:val="20"/>
                <w:szCs w:val="20"/>
                <w:color w:val="auto"/>
              </w:rPr>
            </w:pPr>
            <w:r>
              <w:rPr>
                <w:rFonts w:ascii="Arial" w:cs="Arial" w:eastAsia="Arial" w:hAnsi="Arial"/>
                <w:sz w:val="14"/>
                <w:szCs w:val="14"/>
                <w:b w:val="1"/>
                <w:bCs w:val="1"/>
                <w:color w:val="auto"/>
              </w:rPr>
              <w:t>Payment</w:t>
            </w:r>
          </w:p>
        </w:tc>
        <w:tc>
          <w:tcPr>
            <w:tcW w:w="940" w:type="dxa"/>
            <w:vAlign w:val="bottom"/>
          </w:tcPr>
          <w:p>
            <w:pPr>
              <w:jc w:val="right"/>
              <w:ind w:right="43"/>
              <w:spacing w:after="0"/>
              <w:rPr>
                <w:sz w:val="20"/>
                <w:szCs w:val="20"/>
                <w:color w:val="auto"/>
              </w:rPr>
            </w:pPr>
            <w:r>
              <w:rPr>
                <w:rFonts w:ascii="Arial" w:cs="Arial" w:eastAsia="Arial" w:hAnsi="Arial"/>
                <w:sz w:val="14"/>
                <w:szCs w:val="14"/>
                <w:b w:val="1"/>
                <w:bCs w:val="1"/>
                <w:color w:val="auto"/>
              </w:rPr>
              <w:t>Bonus</w:t>
            </w:r>
          </w:p>
        </w:tc>
        <w:tc>
          <w:tcPr>
            <w:tcW w:w="1080" w:type="dxa"/>
            <w:vAlign w:val="bottom"/>
          </w:tcPr>
          <w:p>
            <w:pPr>
              <w:jc w:val="right"/>
              <w:ind w:right="44"/>
              <w:spacing w:after="0"/>
              <w:rPr>
                <w:sz w:val="20"/>
                <w:szCs w:val="20"/>
                <w:color w:val="auto"/>
              </w:rPr>
            </w:pPr>
            <w:r>
              <w:rPr>
                <w:rFonts w:ascii="Arial" w:cs="Arial" w:eastAsia="Arial" w:hAnsi="Arial"/>
                <w:sz w:val="14"/>
                <w:szCs w:val="14"/>
                <w:b w:val="1"/>
                <w:bCs w:val="1"/>
                <w:color w:val="auto"/>
              </w:rPr>
              <w:t>Payment</w:t>
            </w:r>
          </w:p>
        </w:tc>
        <w:tc>
          <w:tcPr>
            <w:tcW w:w="1300" w:type="dxa"/>
            <w:vAlign w:val="bottom"/>
          </w:tcPr>
          <w:p>
            <w:pPr>
              <w:jc w:val="right"/>
              <w:ind w:right="44"/>
              <w:spacing w:after="0" w:line="173" w:lineRule="exact"/>
              <w:rPr>
                <w:sz w:val="20"/>
                <w:szCs w:val="20"/>
                <w:color w:val="auto"/>
              </w:rPr>
            </w:pPr>
            <w:r>
              <w:rPr>
                <w:rFonts w:ascii="Arial" w:cs="Arial" w:eastAsia="Arial" w:hAnsi="Arial"/>
                <w:sz w:val="13"/>
                <w:szCs w:val="13"/>
                <w:b w:val="1"/>
                <w:bCs w:val="1"/>
                <w:color w:val="auto"/>
              </w:rPr>
              <w:t>Plan Payment</w:t>
            </w:r>
            <w:r>
              <w:rPr>
                <w:rFonts w:ascii="Arial" w:cs="Arial" w:eastAsia="Arial" w:hAnsi="Arial"/>
                <w:sz w:val="20"/>
                <w:szCs w:val="20"/>
                <w:b w:val="1"/>
                <w:bCs w:val="1"/>
                <w:color w:val="auto"/>
                <w:vertAlign w:val="superscript"/>
              </w:rPr>
              <w:t>(1)</w:t>
            </w:r>
          </w:p>
        </w:tc>
        <w:tc>
          <w:tcPr>
            <w:tcW w:w="1220" w:type="dxa"/>
            <w:vAlign w:val="bottom"/>
          </w:tcPr>
          <w:p>
            <w:pPr>
              <w:jc w:val="right"/>
              <w:ind w:right="43"/>
              <w:spacing w:after="0"/>
              <w:rPr>
                <w:sz w:val="20"/>
                <w:szCs w:val="20"/>
                <w:color w:val="auto"/>
              </w:rPr>
            </w:pPr>
            <w:r>
              <w:rPr>
                <w:rFonts w:ascii="Arial" w:cs="Arial" w:eastAsia="Arial" w:hAnsi="Arial"/>
                <w:sz w:val="14"/>
                <w:szCs w:val="14"/>
                <w:b w:val="1"/>
                <w:bCs w:val="1"/>
                <w:color w:val="auto"/>
              </w:rPr>
              <w:t>Financial</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2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Officer</w:t>
            </w:r>
          </w:p>
        </w:tc>
        <w:tc>
          <w:tcPr>
            <w:tcW w:w="254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3"/>
        </w:trPr>
        <w:tc>
          <w:tcPr>
            <w:tcW w:w="3260" w:type="dxa"/>
            <w:vAlign w:val="bottom"/>
            <w:tcBorders>
              <w:bottom w:val="single" w:sz="8" w:color="949599"/>
            </w:tcBorders>
          </w:tcPr>
          <w:p>
            <w:pPr>
              <w:ind w:left="80"/>
              <w:spacing w:after="0"/>
              <w:rPr>
                <w:sz w:val="20"/>
                <w:szCs w:val="20"/>
                <w:color w:val="auto"/>
              </w:rPr>
            </w:pPr>
            <w:r>
              <w:rPr>
                <w:rFonts w:ascii="Arial" w:cs="Arial" w:eastAsia="Arial" w:hAnsi="Arial"/>
                <w:sz w:val="16"/>
                <w:szCs w:val="16"/>
                <w:b w:val="1"/>
                <w:bCs w:val="1"/>
                <w:color w:val="009A4B"/>
              </w:rPr>
              <w:t>Seifi Ghasemi</w:t>
            </w:r>
          </w:p>
        </w:tc>
        <w:tc>
          <w:tcPr>
            <w:tcW w:w="2540" w:type="dxa"/>
            <w:vAlign w:val="bottom"/>
            <w:tcBorders>
              <w:bottom w:val="single" w:sz="8" w:color="949599"/>
            </w:tcBorders>
          </w:tcPr>
          <w:p>
            <w:pPr>
              <w:jc w:val="right"/>
              <w:ind w:right="43"/>
              <w:spacing w:after="0"/>
              <w:rPr>
                <w:sz w:val="20"/>
                <w:szCs w:val="20"/>
                <w:color w:val="auto"/>
              </w:rPr>
            </w:pPr>
            <w:r>
              <w:rPr>
                <w:rFonts w:ascii="Arial" w:cs="Arial" w:eastAsia="Arial" w:hAnsi="Arial"/>
                <w:sz w:val="16"/>
                <w:szCs w:val="16"/>
                <w:color w:val="auto"/>
              </w:rPr>
              <w:t>10,161,173</w:t>
            </w:r>
          </w:p>
        </w:tc>
        <w:tc>
          <w:tcPr>
            <w:tcW w:w="940" w:type="dxa"/>
            <w:vAlign w:val="bottom"/>
            <w:tcBorders>
              <w:bottom w:val="single" w:sz="8" w:color="949599"/>
            </w:tcBorders>
          </w:tcPr>
          <w:p>
            <w:pPr>
              <w:jc w:val="right"/>
              <w:ind w:right="43"/>
              <w:spacing w:after="0"/>
              <w:rPr>
                <w:sz w:val="20"/>
                <w:szCs w:val="20"/>
                <w:color w:val="auto"/>
              </w:rPr>
            </w:pPr>
            <w:r>
              <w:rPr>
                <w:rFonts w:ascii="Arial" w:cs="Arial" w:eastAsia="Arial" w:hAnsi="Arial"/>
                <w:sz w:val="16"/>
                <w:szCs w:val="16"/>
                <w:color w:val="auto"/>
              </w:rPr>
              <w:t>1,923,750</w:t>
            </w:r>
          </w:p>
        </w:tc>
        <w:tc>
          <w:tcPr>
            <w:tcW w:w="1080" w:type="dxa"/>
            <w:vAlign w:val="bottom"/>
            <w:tcBorders>
              <w:bottom w:val="single" w:sz="8" w:color="949599"/>
            </w:tcBorders>
          </w:tcPr>
          <w:p>
            <w:pPr>
              <w:jc w:val="right"/>
              <w:ind w:right="44"/>
              <w:spacing w:after="0"/>
              <w:rPr>
                <w:sz w:val="20"/>
                <w:szCs w:val="20"/>
                <w:color w:val="auto"/>
              </w:rPr>
            </w:pPr>
            <w:r>
              <w:rPr>
                <w:rFonts w:ascii="Arial" w:cs="Arial" w:eastAsia="Arial" w:hAnsi="Arial"/>
                <w:sz w:val="16"/>
                <w:szCs w:val="16"/>
                <w:color w:val="auto"/>
              </w:rPr>
              <w:t>0</w:t>
            </w:r>
          </w:p>
        </w:tc>
        <w:tc>
          <w:tcPr>
            <w:tcW w:w="1300" w:type="dxa"/>
            <w:vAlign w:val="bottom"/>
            <w:tcBorders>
              <w:bottom w:val="single" w:sz="8" w:color="949599"/>
            </w:tcBorders>
          </w:tcPr>
          <w:p>
            <w:pPr>
              <w:jc w:val="right"/>
              <w:ind w:right="44"/>
              <w:spacing w:after="0"/>
              <w:rPr>
                <w:sz w:val="20"/>
                <w:szCs w:val="20"/>
                <w:color w:val="auto"/>
              </w:rPr>
            </w:pPr>
            <w:r>
              <w:rPr>
                <w:rFonts w:ascii="Arial" w:cs="Arial" w:eastAsia="Arial" w:hAnsi="Arial"/>
                <w:sz w:val="16"/>
                <w:szCs w:val="16"/>
                <w:color w:val="auto"/>
              </w:rPr>
              <w:t>531,360</w:t>
            </w:r>
          </w:p>
        </w:tc>
        <w:tc>
          <w:tcPr>
            <w:tcW w:w="1220" w:type="dxa"/>
            <w:vAlign w:val="bottom"/>
            <w:tcBorders>
              <w:bottom w:val="single" w:sz="8" w:color="949599"/>
            </w:tcBorders>
          </w:tcPr>
          <w:p>
            <w:pPr>
              <w:jc w:val="right"/>
              <w:ind w:right="43"/>
              <w:spacing w:after="0"/>
              <w:rPr>
                <w:sz w:val="20"/>
                <w:szCs w:val="20"/>
                <w:color w:val="auto"/>
              </w:rPr>
            </w:pPr>
            <w:r>
              <w:rPr>
                <w:rFonts w:ascii="Arial" w:cs="Arial" w:eastAsia="Arial" w:hAnsi="Arial"/>
                <w:sz w:val="16"/>
                <w:szCs w:val="16"/>
                <w:color w:val="auto"/>
              </w:rPr>
              <w:t>14,500</w:t>
            </w:r>
          </w:p>
        </w:tc>
        <w:tc>
          <w:tcPr>
            <w:tcW w:w="90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40,034</w:t>
            </w:r>
          </w:p>
        </w:tc>
        <w:tc>
          <w:tcPr>
            <w:tcW w:w="0" w:type="dxa"/>
            <w:vAlign w:val="bottom"/>
          </w:tcPr>
          <w:p>
            <w:pPr>
              <w:spacing w:after="0"/>
              <w:rPr>
                <w:sz w:val="1"/>
                <w:szCs w:val="1"/>
                <w:color w:val="auto"/>
              </w:rPr>
            </w:pPr>
          </w:p>
        </w:tc>
      </w:tr>
      <w:tr>
        <w:trPr>
          <w:trHeight w:val="233"/>
        </w:trPr>
        <w:tc>
          <w:tcPr>
            <w:tcW w:w="3260" w:type="dxa"/>
            <w:vAlign w:val="bottom"/>
            <w:tcBorders>
              <w:bottom w:val="single" w:sz="8" w:color="949599"/>
            </w:tcBorders>
          </w:tcPr>
          <w:p>
            <w:pPr>
              <w:ind w:left="80"/>
              <w:spacing w:after="0"/>
              <w:rPr>
                <w:sz w:val="20"/>
                <w:szCs w:val="20"/>
                <w:color w:val="auto"/>
              </w:rPr>
            </w:pPr>
            <w:r>
              <w:rPr>
                <w:rFonts w:ascii="Arial" w:cs="Arial" w:eastAsia="Arial" w:hAnsi="Arial"/>
                <w:sz w:val="16"/>
                <w:szCs w:val="16"/>
                <w:b w:val="1"/>
                <w:bCs w:val="1"/>
                <w:color w:val="009A4B"/>
              </w:rPr>
              <w:t>Melissa N. Schaeffer</w:t>
            </w:r>
          </w:p>
        </w:tc>
        <w:tc>
          <w:tcPr>
            <w:tcW w:w="2540" w:type="dxa"/>
            <w:vAlign w:val="bottom"/>
            <w:tcBorders>
              <w:bottom w:val="single" w:sz="8" w:color="949599"/>
            </w:tcBorders>
          </w:tcPr>
          <w:p>
            <w:pPr>
              <w:jc w:val="right"/>
              <w:ind w:right="43"/>
              <w:spacing w:after="0"/>
              <w:rPr>
                <w:sz w:val="20"/>
                <w:szCs w:val="20"/>
                <w:color w:val="auto"/>
              </w:rPr>
            </w:pPr>
            <w:r>
              <w:rPr>
                <w:rFonts w:ascii="Arial" w:cs="Arial" w:eastAsia="Arial" w:hAnsi="Arial"/>
                <w:sz w:val="16"/>
                <w:szCs w:val="16"/>
                <w:color w:val="auto"/>
              </w:rPr>
              <w:t>1,708,010</w:t>
            </w:r>
          </w:p>
        </w:tc>
        <w:tc>
          <w:tcPr>
            <w:tcW w:w="940" w:type="dxa"/>
            <w:vAlign w:val="bottom"/>
            <w:tcBorders>
              <w:bottom w:val="single" w:sz="8" w:color="949599"/>
            </w:tcBorders>
          </w:tcPr>
          <w:p>
            <w:pPr>
              <w:jc w:val="right"/>
              <w:ind w:right="43"/>
              <w:spacing w:after="0"/>
              <w:rPr>
                <w:sz w:val="20"/>
                <w:szCs w:val="20"/>
                <w:color w:val="auto"/>
              </w:rPr>
            </w:pPr>
            <w:r>
              <w:rPr>
                <w:rFonts w:ascii="Arial" w:cs="Arial" w:eastAsia="Arial" w:hAnsi="Arial"/>
                <w:sz w:val="16"/>
                <w:szCs w:val="16"/>
                <w:color w:val="auto"/>
              </w:rPr>
              <w:t>210,900</w:t>
            </w:r>
          </w:p>
        </w:tc>
        <w:tc>
          <w:tcPr>
            <w:tcW w:w="1080" w:type="dxa"/>
            <w:vAlign w:val="bottom"/>
            <w:tcBorders>
              <w:bottom w:val="single" w:sz="8" w:color="949599"/>
            </w:tcBorders>
          </w:tcPr>
          <w:p>
            <w:pPr>
              <w:jc w:val="right"/>
              <w:ind w:right="44"/>
              <w:spacing w:after="0"/>
              <w:rPr>
                <w:sz w:val="20"/>
                <w:szCs w:val="20"/>
                <w:color w:val="auto"/>
              </w:rPr>
            </w:pPr>
            <w:r>
              <w:rPr>
                <w:rFonts w:ascii="Arial" w:cs="Arial" w:eastAsia="Arial" w:hAnsi="Arial"/>
                <w:sz w:val="16"/>
                <w:szCs w:val="16"/>
                <w:color w:val="auto"/>
              </w:rPr>
              <w:t>0</w:t>
            </w:r>
          </w:p>
        </w:tc>
        <w:tc>
          <w:tcPr>
            <w:tcW w:w="1300" w:type="dxa"/>
            <w:vAlign w:val="bottom"/>
            <w:tcBorders>
              <w:bottom w:val="single" w:sz="8" w:color="949599"/>
            </w:tcBorders>
          </w:tcPr>
          <w:p>
            <w:pPr>
              <w:jc w:val="right"/>
              <w:ind w:right="44"/>
              <w:spacing w:after="0"/>
              <w:rPr>
                <w:sz w:val="20"/>
                <w:szCs w:val="20"/>
                <w:color w:val="auto"/>
              </w:rPr>
            </w:pPr>
            <w:r>
              <w:rPr>
                <w:rFonts w:ascii="Arial" w:cs="Arial" w:eastAsia="Arial" w:hAnsi="Arial"/>
                <w:sz w:val="16"/>
                <w:szCs w:val="16"/>
                <w:color w:val="auto"/>
              </w:rPr>
              <w:t>52,336</w:t>
            </w:r>
          </w:p>
        </w:tc>
        <w:tc>
          <w:tcPr>
            <w:tcW w:w="1220" w:type="dxa"/>
            <w:vAlign w:val="bottom"/>
            <w:tcBorders>
              <w:bottom w:val="single" w:sz="8" w:color="949599"/>
            </w:tcBorders>
          </w:tcPr>
          <w:p>
            <w:pPr>
              <w:jc w:val="right"/>
              <w:ind w:right="43"/>
              <w:spacing w:after="0"/>
              <w:rPr>
                <w:sz w:val="20"/>
                <w:szCs w:val="20"/>
                <w:color w:val="auto"/>
              </w:rPr>
            </w:pPr>
            <w:r>
              <w:rPr>
                <w:rFonts w:ascii="Arial" w:cs="Arial" w:eastAsia="Arial" w:hAnsi="Arial"/>
                <w:sz w:val="16"/>
                <w:szCs w:val="16"/>
                <w:color w:val="auto"/>
              </w:rPr>
              <w:t>14,500</w:t>
            </w:r>
          </w:p>
        </w:tc>
        <w:tc>
          <w:tcPr>
            <w:tcW w:w="90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67,444</w:t>
            </w:r>
          </w:p>
        </w:tc>
        <w:tc>
          <w:tcPr>
            <w:tcW w:w="0" w:type="dxa"/>
            <w:vAlign w:val="bottom"/>
          </w:tcPr>
          <w:p>
            <w:pPr>
              <w:spacing w:after="0"/>
              <w:rPr>
                <w:sz w:val="1"/>
                <w:szCs w:val="1"/>
                <w:color w:val="auto"/>
              </w:rPr>
            </w:pPr>
          </w:p>
        </w:tc>
      </w:tr>
      <w:tr>
        <w:trPr>
          <w:trHeight w:val="280"/>
        </w:trPr>
        <w:tc>
          <w:tcPr>
            <w:tcW w:w="3260" w:type="dxa"/>
            <w:vAlign w:val="bottom"/>
            <w:tcBorders>
              <w:bottom w:val="single" w:sz="8" w:color="949599"/>
            </w:tcBorders>
          </w:tcPr>
          <w:p>
            <w:pPr>
              <w:ind w:left="80"/>
              <w:spacing w:after="0" w:line="280" w:lineRule="exact"/>
              <w:rPr>
                <w:sz w:val="20"/>
                <w:szCs w:val="20"/>
                <w:color w:val="auto"/>
              </w:rPr>
            </w:pPr>
            <w:r>
              <w:rPr>
                <w:rFonts w:ascii="Arial" w:cs="Arial" w:eastAsia="Arial" w:hAnsi="Arial"/>
                <w:sz w:val="16"/>
                <w:szCs w:val="16"/>
                <w:b w:val="1"/>
                <w:bCs w:val="1"/>
                <w:color w:val="009A4B"/>
              </w:rPr>
              <w:t>M. Scott Crocco</w:t>
            </w:r>
            <w:r>
              <w:rPr>
                <w:rFonts w:ascii="Arial" w:cs="Arial" w:eastAsia="Arial" w:hAnsi="Arial"/>
                <w:sz w:val="26"/>
                <w:szCs w:val="26"/>
                <w:b w:val="1"/>
                <w:bCs w:val="1"/>
                <w:color w:val="009A4B"/>
                <w:vertAlign w:val="superscript"/>
              </w:rPr>
              <w:t>(3)</w:t>
            </w:r>
          </w:p>
        </w:tc>
        <w:tc>
          <w:tcPr>
            <w:tcW w:w="2540" w:type="dxa"/>
            <w:vAlign w:val="bottom"/>
            <w:tcBorders>
              <w:bottom w:val="single" w:sz="8" w:color="949599"/>
            </w:tcBorders>
          </w:tcPr>
          <w:p>
            <w:pPr>
              <w:jc w:val="right"/>
              <w:ind w:right="43"/>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949599"/>
            </w:tcBorders>
          </w:tcPr>
          <w:p>
            <w:pPr>
              <w:jc w:val="right"/>
              <w:ind w:right="43"/>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949599"/>
            </w:tcBorders>
          </w:tcPr>
          <w:p>
            <w:pPr>
              <w:jc w:val="right"/>
              <w:ind w:right="44"/>
              <w:spacing w:after="0"/>
              <w:rPr>
                <w:sz w:val="20"/>
                <w:szCs w:val="20"/>
                <w:color w:val="auto"/>
              </w:rPr>
            </w:pPr>
            <w:r>
              <w:rPr>
                <w:rFonts w:ascii="Arial" w:cs="Arial" w:eastAsia="Arial" w:hAnsi="Arial"/>
                <w:sz w:val="16"/>
                <w:szCs w:val="16"/>
                <w:color w:val="auto"/>
              </w:rPr>
              <w:t>0</w:t>
            </w:r>
          </w:p>
        </w:tc>
        <w:tc>
          <w:tcPr>
            <w:tcW w:w="1300" w:type="dxa"/>
            <w:vAlign w:val="bottom"/>
            <w:tcBorders>
              <w:bottom w:val="single" w:sz="8" w:color="949599"/>
            </w:tcBorders>
          </w:tcPr>
          <w:p>
            <w:pPr>
              <w:jc w:val="right"/>
              <w:ind w:right="44"/>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949599"/>
            </w:tcBorders>
          </w:tcPr>
          <w:p>
            <w:pPr>
              <w:jc w:val="right"/>
              <w:ind w:right="43"/>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3260" w:type="dxa"/>
            <w:vAlign w:val="bottom"/>
            <w:tcBorders>
              <w:bottom w:val="single" w:sz="8" w:color="949599"/>
            </w:tcBorders>
          </w:tcPr>
          <w:p>
            <w:pPr>
              <w:ind w:left="80"/>
              <w:spacing w:after="0"/>
              <w:rPr>
                <w:sz w:val="20"/>
                <w:szCs w:val="20"/>
                <w:color w:val="auto"/>
              </w:rPr>
            </w:pPr>
            <w:r>
              <w:rPr>
                <w:rFonts w:ascii="Arial" w:cs="Arial" w:eastAsia="Arial" w:hAnsi="Arial"/>
                <w:sz w:val="16"/>
                <w:szCs w:val="16"/>
                <w:b w:val="1"/>
                <w:bCs w:val="1"/>
                <w:color w:val="009A4B"/>
              </w:rPr>
              <w:t>Sean D. Major</w:t>
            </w:r>
          </w:p>
        </w:tc>
        <w:tc>
          <w:tcPr>
            <w:tcW w:w="2540" w:type="dxa"/>
            <w:vAlign w:val="bottom"/>
            <w:tcBorders>
              <w:bottom w:val="single" w:sz="8" w:color="949599"/>
            </w:tcBorders>
          </w:tcPr>
          <w:p>
            <w:pPr>
              <w:jc w:val="right"/>
              <w:ind w:right="43"/>
              <w:spacing w:after="0"/>
              <w:rPr>
                <w:sz w:val="20"/>
                <w:szCs w:val="20"/>
                <w:color w:val="auto"/>
              </w:rPr>
            </w:pPr>
            <w:r>
              <w:rPr>
                <w:rFonts w:ascii="Arial" w:cs="Arial" w:eastAsia="Arial" w:hAnsi="Arial"/>
                <w:sz w:val="16"/>
                <w:szCs w:val="16"/>
                <w:color w:val="auto"/>
              </w:rPr>
              <w:t>2,112,800</w:t>
            </w:r>
          </w:p>
        </w:tc>
        <w:tc>
          <w:tcPr>
            <w:tcW w:w="940" w:type="dxa"/>
            <w:vAlign w:val="bottom"/>
            <w:tcBorders>
              <w:bottom w:val="single" w:sz="8" w:color="949599"/>
            </w:tcBorders>
          </w:tcPr>
          <w:p>
            <w:pPr>
              <w:jc w:val="right"/>
              <w:ind w:right="43"/>
              <w:spacing w:after="0"/>
              <w:rPr>
                <w:sz w:val="20"/>
                <w:szCs w:val="20"/>
                <w:color w:val="auto"/>
              </w:rPr>
            </w:pPr>
            <w:r>
              <w:rPr>
                <w:rFonts w:ascii="Arial" w:cs="Arial" w:eastAsia="Arial" w:hAnsi="Arial"/>
                <w:sz w:val="16"/>
                <w:szCs w:val="16"/>
                <w:color w:val="auto"/>
              </w:rPr>
              <w:t>470,250</w:t>
            </w:r>
          </w:p>
        </w:tc>
        <w:tc>
          <w:tcPr>
            <w:tcW w:w="1080" w:type="dxa"/>
            <w:vAlign w:val="bottom"/>
            <w:tcBorders>
              <w:bottom w:val="single" w:sz="8" w:color="949599"/>
            </w:tcBorders>
          </w:tcPr>
          <w:p>
            <w:pPr>
              <w:jc w:val="right"/>
              <w:ind w:right="44"/>
              <w:spacing w:after="0"/>
              <w:rPr>
                <w:sz w:val="20"/>
                <w:szCs w:val="20"/>
                <w:color w:val="auto"/>
              </w:rPr>
            </w:pPr>
            <w:r>
              <w:rPr>
                <w:rFonts w:ascii="Arial" w:cs="Arial" w:eastAsia="Arial" w:hAnsi="Arial"/>
                <w:sz w:val="16"/>
                <w:szCs w:val="16"/>
                <w:color w:val="auto"/>
              </w:rPr>
              <w:t>0</w:t>
            </w:r>
          </w:p>
        </w:tc>
        <w:tc>
          <w:tcPr>
            <w:tcW w:w="1300" w:type="dxa"/>
            <w:vAlign w:val="bottom"/>
            <w:tcBorders>
              <w:bottom w:val="single" w:sz="8" w:color="949599"/>
            </w:tcBorders>
          </w:tcPr>
          <w:p>
            <w:pPr>
              <w:jc w:val="right"/>
              <w:ind w:right="44"/>
              <w:spacing w:after="0"/>
              <w:rPr>
                <w:sz w:val="20"/>
                <w:szCs w:val="20"/>
                <w:color w:val="auto"/>
              </w:rPr>
            </w:pPr>
            <w:r>
              <w:rPr>
                <w:rFonts w:ascii="Arial" w:cs="Arial" w:eastAsia="Arial" w:hAnsi="Arial"/>
                <w:sz w:val="16"/>
                <w:szCs w:val="16"/>
                <w:color w:val="auto"/>
              </w:rPr>
              <w:t>100,848</w:t>
            </w:r>
          </w:p>
        </w:tc>
        <w:tc>
          <w:tcPr>
            <w:tcW w:w="1220" w:type="dxa"/>
            <w:vAlign w:val="bottom"/>
            <w:tcBorders>
              <w:bottom w:val="single" w:sz="8" w:color="949599"/>
            </w:tcBorders>
          </w:tcPr>
          <w:p>
            <w:pPr>
              <w:jc w:val="right"/>
              <w:ind w:right="43"/>
              <w:spacing w:after="0"/>
              <w:rPr>
                <w:sz w:val="20"/>
                <w:szCs w:val="20"/>
                <w:color w:val="auto"/>
              </w:rPr>
            </w:pPr>
            <w:r>
              <w:rPr>
                <w:rFonts w:ascii="Arial" w:cs="Arial" w:eastAsia="Arial" w:hAnsi="Arial"/>
                <w:sz w:val="16"/>
                <w:szCs w:val="16"/>
                <w:color w:val="auto"/>
              </w:rPr>
              <w:t>14,500</w:t>
            </w:r>
          </w:p>
        </w:tc>
        <w:tc>
          <w:tcPr>
            <w:tcW w:w="90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42,890</w:t>
            </w:r>
          </w:p>
        </w:tc>
        <w:tc>
          <w:tcPr>
            <w:tcW w:w="0" w:type="dxa"/>
            <w:vAlign w:val="bottom"/>
          </w:tcPr>
          <w:p>
            <w:pPr>
              <w:spacing w:after="0"/>
              <w:rPr>
                <w:sz w:val="1"/>
                <w:szCs w:val="1"/>
                <w:color w:val="auto"/>
              </w:rPr>
            </w:pPr>
          </w:p>
        </w:tc>
      </w:tr>
      <w:tr>
        <w:trPr>
          <w:trHeight w:val="246"/>
        </w:trPr>
        <w:tc>
          <w:tcPr>
            <w:tcW w:w="32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009A4B"/>
              </w:rPr>
              <w:t>Samir J. Serhan</w:t>
            </w:r>
          </w:p>
        </w:tc>
        <w:tc>
          <w:tcPr>
            <w:tcW w:w="25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2,683,200</w:t>
            </w: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598,500</w:t>
            </w: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0</w:t>
            </w:r>
          </w:p>
        </w:tc>
        <w:tc>
          <w:tcPr>
            <w:tcW w:w="13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123,184</w:t>
            </w:r>
          </w:p>
        </w:tc>
        <w:tc>
          <w:tcPr>
            <w:tcW w:w="12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14,500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42,890</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300" w:right="400" w:hanging="294"/>
        <w:spacing w:after="0" w:line="181" w:lineRule="auto"/>
        <w:tabs>
          <w:tab w:leader="none" w:pos="300" w:val="left"/>
        </w:tabs>
        <w:numPr>
          <w:ilvl w:val="0"/>
          <w:numId w:val="72"/>
        </w:numPr>
        <w:rPr>
          <w:rFonts w:ascii="Arial" w:cs="Arial" w:eastAsia="Arial" w:hAnsi="Arial"/>
          <w:sz w:val="24"/>
          <w:szCs w:val="24"/>
          <w:color w:val="auto"/>
          <w:vertAlign w:val="superscript"/>
        </w:rPr>
      </w:pPr>
      <w:r>
        <w:rPr>
          <w:rFonts w:ascii="Arial" w:cs="Arial" w:eastAsia="Arial" w:hAnsi="Arial"/>
          <w:sz w:val="14"/>
          <w:szCs w:val="14"/>
          <w:color w:val="auto"/>
        </w:rPr>
        <w:t>Includes payments in lieu of Company core contributions and credits under the RSP and Deferred Compensation Plan for Mr. Ghasemi, Ms. Schaeffer, Mr. Major and Dr. Serhan.</w:t>
      </w:r>
    </w:p>
    <w:p>
      <w:pPr>
        <w:ind w:left="300" w:hanging="294"/>
        <w:spacing w:after="0" w:line="231" w:lineRule="auto"/>
        <w:tabs>
          <w:tab w:leader="none" w:pos="300" w:val="left"/>
        </w:tabs>
        <w:numPr>
          <w:ilvl w:val="0"/>
          <w:numId w:val="72"/>
        </w:numPr>
        <w:rPr>
          <w:rFonts w:ascii="Arial" w:cs="Arial" w:eastAsia="Arial" w:hAnsi="Arial"/>
          <w:sz w:val="24"/>
          <w:szCs w:val="24"/>
          <w:color w:val="auto"/>
          <w:vertAlign w:val="superscript"/>
        </w:rPr>
      </w:pPr>
      <w:r>
        <w:rPr>
          <w:rFonts w:ascii="Arial" w:cs="Arial" w:eastAsia="Arial" w:hAnsi="Arial"/>
          <w:sz w:val="14"/>
          <w:szCs w:val="14"/>
          <w:color w:val="auto"/>
        </w:rPr>
        <w:t>Includes continuation of medical, dental, disability and life insurance benefits.</w:t>
      </w:r>
    </w:p>
    <w:p>
      <w:pPr>
        <w:spacing w:after="0" w:line="96" w:lineRule="exact"/>
        <w:rPr>
          <w:rFonts w:ascii="Arial" w:cs="Arial" w:eastAsia="Arial" w:hAnsi="Arial"/>
          <w:sz w:val="24"/>
          <w:szCs w:val="24"/>
          <w:color w:val="auto"/>
          <w:vertAlign w:val="superscript"/>
        </w:rPr>
      </w:pPr>
    </w:p>
    <w:p>
      <w:pPr>
        <w:ind w:left="300" w:hanging="294"/>
        <w:spacing w:after="0" w:line="187" w:lineRule="auto"/>
        <w:tabs>
          <w:tab w:leader="none" w:pos="300" w:val="left"/>
        </w:tabs>
        <w:numPr>
          <w:ilvl w:val="0"/>
          <w:numId w:val="72"/>
        </w:numPr>
        <w:rPr>
          <w:rFonts w:ascii="Arial" w:cs="Arial" w:eastAsia="Arial" w:hAnsi="Arial"/>
          <w:sz w:val="19"/>
          <w:szCs w:val="19"/>
          <w:color w:val="auto"/>
          <w:vertAlign w:val="superscript"/>
        </w:rPr>
      </w:pPr>
      <w:r>
        <w:rPr>
          <w:rFonts w:ascii="Arial" w:cs="Arial" w:eastAsia="Arial" w:hAnsi="Arial"/>
          <w:sz w:val="12"/>
          <w:szCs w:val="12"/>
          <w:color w:val="auto"/>
        </w:rPr>
        <w:t>Mr. Crocco retired from the Company on September 30, 2021.</w:t>
      </w:r>
    </w:p>
    <w:p>
      <w:pPr>
        <w:spacing w:after="0" w:line="146"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In addition to the change in control severance agreements, the Company’s Long-Term Incentive Plan provides change in control protection for all participants. Awards will not automatically vest on an accelerated basis as a result of a change in control if they are replaced by the surviving entity. For these provisions to apply: the replacement awards must be issued by a publicly listed company and preserve the value of, and be on terms as favorable as the existing award; performance-conditioned awards must be replaced by time-based vesting awards; and the replacement awards must provide that if the participant is terminated without “cause” or voluntarily terminates for “good reason” within 24 months following the change in control, the awards will vest immediately upon termination. The Long-Term Incentive Plan also provides that, pursuant to an agreement associated with a change in control or in the discretion of the Board or an appropriate committee thereof, awards may be settled for cash at the change in control price.</w:t>
      </w:r>
    </w:p>
    <w:p>
      <w:pPr>
        <w:spacing w:after="0" w:line="155"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Long-Term Incentive Plan awards granted in fiscal 2015 or later would not automatically vest upon a change in control but would vest upon a termination of the executive officer by the Company without “cause” or a voluntary termination by the executive officer for “good reason” within 24 months of the change in control. The table below shows the estimated value of long-term incentive awards that would have vested upon an eligible termination on September 30, 2021 following a change in control. These acceleration provisions apply to all Long-Term Incentive Plan participants. In the case of Mr. Ghasemi, who was retirement eligible on September 30, 2018, most of these amounts would have vested on voluntary termination, but payment or lapse of restrictions could be accelerated upon a change in control. For the other executive officers, most of the amounts shown would become vested or payable if his or her active employment continued without a change in control, but payment, lapse of restrictions would be accelerated upon a change in control.</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tcPr>
          <w:p>
            <w:pPr>
              <w:spacing w:after="0"/>
              <w:rPr>
                <w:sz w:val="14"/>
                <w:szCs w:val="14"/>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Estimated</w:t>
            </w:r>
          </w:p>
        </w:tc>
      </w:tr>
      <w:tr>
        <w:trPr>
          <w:trHeight w:val="160"/>
        </w:trPr>
        <w:tc>
          <w:tcPr>
            <w:tcW w:w="9460" w:type="dxa"/>
            <w:vAlign w:val="bottom"/>
          </w:tcPr>
          <w:p>
            <w:pPr>
              <w:spacing w:after="0"/>
              <w:rPr>
                <w:sz w:val="13"/>
                <w:szCs w:val="13"/>
                <w:color w:val="auto"/>
              </w:rPr>
            </w:pPr>
          </w:p>
        </w:tc>
        <w:tc>
          <w:tcPr>
            <w:tcW w:w="1800" w:type="dxa"/>
            <w:vAlign w:val="bottom"/>
            <w:gridSpan w:val="2"/>
          </w:tcPr>
          <w:p>
            <w:pPr>
              <w:jc w:val="right"/>
              <w:ind w:right="80"/>
              <w:spacing w:after="0" w:line="160" w:lineRule="exact"/>
              <w:rPr>
                <w:sz w:val="20"/>
                <w:szCs w:val="20"/>
                <w:color w:val="auto"/>
              </w:rPr>
            </w:pPr>
            <w:r>
              <w:rPr>
                <w:rFonts w:ascii="Arial" w:cs="Arial" w:eastAsia="Arial" w:hAnsi="Arial"/>
                <w:sz w:val="14"/>
                <w:szCs w:val="14"/>
                <w:b w:val="1"/>
                <w:bCs w:val="1"/>
                <w:color w:val="auto"/>
              </w:rPr>
              <w:t>Value</w:t>
            </w:r>
          </w:p>
        </w:tc>
      </w:tr>
      <w:tr>
        <w:trPr>
          <w:trHeight w:val="206"/>
        </w:trPr>
        <w:tc>
          <w:tcPr>
            <w:tcW w:w="9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Officer</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r>
      <w:tr>
        <w:trPr>
          <w:trHeight w:val="233"/>
        </w:trPr>
        <w:tc>
          <w:tcPr>
            <w:tcW w:w="9460" w:type="dxa"/>
            <w:vAlign w:val="bottom"/>
            <w:tcBorders>
              <w:bottom w:val="single" w:sz="8" w:color="949599"/>
            </w:tcBorders>
          </w:tcPr>
          <w:p>
            <w:pPr>
              <w:ind w:left="80"/>
              <w:spacing w:after="0"/>
              <w:rPr>
                <w:sz w:val="20"/>
                <w:szCs w:val="20"/>
                <w:color w:val="auto"/>
              </w:rPr>
            </w:pPr>
            <w:r>
              <w:rPr>
                <w:rFonts w:ascii="Arial" w:cs="Arial" w:eastAsia="Arial" w:hAnsi="Arial"/>
                <w:sz w:val="16"/>
                <w:szCs w:val="16"/>
                <w:b w:val="1"/>
                <w:bCs w:val="1"/>
                <w:color w:val="009A4B"/>
              </w:rPr>
              <w:t>Seifi Ghasemi</w:t>
            </w:r>
          </w:p>
        </w:tc>
        <w:tc>
          <w:tcPr>
            <w:tcW w:w="178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50,590,226</w:t>
            </w:r>
          </w:p>
        </w:tc>
        <w:tc>
          <w:tcPr>
            <w:tcW w:w="20" w:type="dxa"/>
            <w:vAlign w:val="bottom"/>
          </w:tcPr>
          <w:p>
            <w:pPr>
              <w:spacing w:after="0"/>
              <w:rPr>
                <w:sz w:val="20"/>
                <w:szCs w:val="20"/>
                <w:color w:val="auto"/>
              </w:rPr>
            </w:pPr>
          </w:p>
        </w:tc>
      </w:tr>
      <w:tr>
        <w:trPr>
          <w:trHeight w:val="233"/>
        </w:trPr>
        <w:tc>
          <w:tcPr>
            <w:tcW w:w="9460" w:type="dxa"/>
            <w:vAlign w:val="bottom"/>
            <w:tcBorders>
              <w:bottom w:val="single" w:sz="8" w:color="949599"/>
            </w:tcBorders>
          </w:tcPr>
          <w:p>
            <w:pPr>
              <w:ind w:left="80"/>
              <w:spacing w:after="0"/>
              <w:rPr>
                <w:sz w:val="20"/>
                <w:szCs w:val="20"/>
                <w:color w:val="auto"/>
              </w:rPr>
            </w:pPr>
            <w:r>
              <w:rPr>
                <w:rFonts w:ascii="Arial" w:cs="Arial" w:eastAsia="Arial" w:hAnsi="Arial"/>
                <w:sz w:val="16"/>
                <w:szCs w:val="16"/>
                <w:b w:val="1"/>
                <w:bCs w:val="1"/>
                <w:color w:val="009A4B"/>
              </w:rPr>
              <w:t>Melissa N. Schaeffer</w:t>
            </w:r>
          </w:p>
        </w:tc>
        <w:tc>
          <w:tcPr>
            <w:tcW w:w="178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667,136</w:t>
            </w:r>
          </w:p>
        </w:tc>
        <w:tc>
          <w:tcPr>
            <w:tcW w:w="20" w:type="dxa"/>
            <w:vAlign w:val="bottom"/>
          </w:tcPr>
          <w:p>
            <w:pPr>
              <w:spacing w:after="0"/>
              <w:rPr>
                <w:sz w:val="20"/>
                <w:szCs w:val="20"/>
                <w:color w:val="auto"/>
              </w:rPr>
            </w:pPr>
          </w:p>
        </w:tc>
      </w:tr>
      <w:tr>
        <w:trPr>
          <w:trHeight w:val="233"/>
        </w:trPr>
        <w:tc>
          <w:tcPr>
            <w:tcW w:w="9460" w:type="dxa"/>
            <w:vAlign w:val="bottom"/>
          </w:tcPr>
          <w:p>
            <w:pPr>
              <w:ind w:left="80"/>
              <w:spacing w:after="0"/>
              <w:rPr>
                <w:sz w:val="20"/>
                <w:szCs w:val="20"/>
                <w:color w:val="auto"/>
              </w:rPr>
            </w:pPr>
            <w:r>
              <w:rPr>
                <w:rFonts w:ascii="Arial" w:cs="Arial" w:eastAsia="Arial" w:hAnsi="Arial"/>
                <w:sz w:val="16"/>
                <w:szCs w:val="16"/>
                <w:b w:val="1"/>
                <w:bCs w:val="1"/>
                <w:color w:val="009A4B"/>
              </w:rPr>
              <w:t>M. Scott Crocco</w:t>
            </w:r>
          </w:p>
        </w:tc>
        <w:tc>
          <w:tcPr>
            <w:tcW w:w="1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3"/>
        </w:trPr>
        <w:tc>
          <w:tcPr>
            <w:tcW w:w="9460" w:type="dxa"/>
            <w:vAlign w:val="bottom"/>
            <w:tcBorders>
              <w:top w:val="single" w:sz="8" w:color="949599"/>
              <w:bottom w:val="single" w:sz="8" w:color="949599"/>
            </w:tcBorders>
          </w:tcPr>
          <w:p>
            <w:pPr>
              <w:ind w:left="80"/>
              <w:spacing w:after="0"/>
              <w:rPr>
                <w:sz w:val="20"/>
                <w:szCs w:val="20"/>
                <w:color w:val="auto"/>
              </w:rPr>
            </w:pPr>
            <w:r>
              <w:rPr>
                <w:rFonts w:ascii="Arial" w:cs="Arial" w:eastAsia="Arial" w:hAnsi="Arial"/>
                <w:sz w:val="16"/>
                <w:szCs w:val="16"/>
                <w:b w:val="1"/>
                <w:bCs w:val="1"/>
                <w:color w:val="009A4B"/>
              </w:rPr>
              <w:t>Sean D. Major</w:t>
            </w:r>
          </w:p>
        </w:tc>
        <w:tc>
          <w:tcPr>
            <w:tcW w:w="1780" w:type="dxa"/>
            <w:vAlign w:val="bottom"/>
            <w:tcBorders>
              <w:top w:val="single" w:sz="8" w:color="949599"/>
              <w:bottom w:val="single" w:sz="8" w:color="949599"/>
            </w:tcBorders>
          </w:tcPr>
          <w:p>
            <w:pPr>
              <w:jc w:val="right"/>
              <w:spacing w:after="0"/>
              <w:rPr>
                <w:sz w:val="20"/>
                <w:szCs w:val="20"/>
                <w:color w:val="auto"/>
              </w:rPr>
            </w:pPr>
            <w:r>
              <w:rPr>
                <w:rFonts w:ascii="Arial" w:cs="Arial" w:eastAsia="Arial" w:hAnsi="Arial"/>
                <w:sz w:val="16"/>
                <w:szCs w:val="16"/>
                <w:color w:val="auto"/>
              </w:rPr>
              <w:t>5,046,398</w:t>
            </w:r>
          </w:p>
        </w:tc>
        <w:tc>
          <w:tcPr>
            <w:tcW w:w="20" w:type="dxa"/>
            <w:vAlign w:val="bottom"/>
          </w:tcPr>
          <w:p>
            <w:pPr>
              <w:spacing w:after="0"/>
              <w:rPr>
                <w:sz w:val="20"/>
                <w:szCs w:val="20"/>
                <w:color w:val="auto"/>
              </w:rPr>
            </w:pPr>
          </w:p>
        </w:tc>
      </w:tr>
      <w:tr>
        <w:trPr>
          <w:trHeight w:val="246"/>
        </w:trPr>
        <w:tc>
          <w:tcPr>
            <w:tcW w:w="94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009A4B"/>
              </w:rPr>
              <w:t>Samir J. Serhan</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8,108,528</w:t>
            </w:r>
          </w:p>
        </w:tc>
        <w:tc>
          <w:tcPr>
            <w:tcW w:w="20" w:type="dxa"/>
            <w:vAlign w:val="bottom"/>
          </w:tcPr>
          <w:p>
            <w:pPr>
              <w:spacing w:after="0"/>
              <w:rPr>
                <w:sz w:val="21"/>
                <w:szCs w:val="21"/>
                <w:color w:val="auto"/>
              </w:rPr>
            </w:pPr>
          </w:p>
        </w:tc>
      </w:tr>
      <w:tr>
        <w:trPr>
          <w:trHeight w:val="354"/>
        </w:trPr>
        <w:tc>
          <w:tcPr>
            <w:tcW w:w="9460" w:type="dxa"/>
            <w:vAlign w:val="bottom"/>
          </w:tcPr>
          <w:p>
            <w:pPr>
              <w:spacing w:after="0"/>
              <w:rPr>
                <w:sz w:val="20"/>
                <w:szCs w:val="20"/>
                <w:color w:val="auto"/>
              </w:rPr>
            </w:pPr>
            <w:r>
              <w:rPr>
                <w:rFonts w:ascii="Arial" w:cs="Arial" w:eastAsia="Arial" w:hAnsi="Arial"/>
                <w:sz w:val="16"/>
                <w:szCs w:val="16"/>
                <w:color w:val="auto"/>
                <w:w w:val="99"/>
              </w:rPr>
              <w:t>Finally, accrued benefits under the nonqualified pension plan (described on pages 53-54) would be paid out upon a change in control.</w:t>
            </w: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7"/>
        </w:trPr>
        <w:tc>
          <w:tcPr>
            <w:tcW w:w="946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Arial" w:cs="Arial" w:eastAsia="Arial" w:hAnsi="Arial"/>
                <w:sz w:val="14"/>
                <w:szCs w:val="14"/>
                <w:color w:val="auto"/>
              </w:rPr>
              <w:t xml:space="preserve">2022 Proxy Statement   </w:t>
            </w:r>
            <w:r>
              <w:rPr>
                <w:rFonts w:ascii="Arial" w:cs="Arial" w:eastAsia="Arial" w:hAnsi="Arial"/>
                <w:sz w:val="14"/>
                <w:szCs w:val="14"/>
                <w:b w:val="1"/>
                <w:bCs w:val="1"/>
                <w:color w:val="auto"/>
              </w:rPr>
              <w:t>59</w:t>
            </w:r>
          </w:p>
        </w:tc>
      </w:tr>
      <w:tr>
        <w:trPr>
          <w:trHeight w:val="141"/>
        </w:trPr>
        <w:tc>
          <w:tcPr>
            <w:tcW w:w="9460" w:type="dxa"/>
            <w:vAlign w:val="bottom"/>
            <w:tcBorders>
              <w:bottom w:val="single" w:sz="8" w:color="808080"/>
            </w:tcBorders>
          </w:tcPr>
          <w:p>
            <w:pPr>
              <w:spacing w:after="0"/>
              <w:rPr>
                <w:sz w:val="12"/>
                <w:szCs w:val="12"/>
                <w:color w:val="auto"/>
              </w:rPr>
            </w:pPr>
          </w:p>
        </w:tc>
        <w:tc>
          <w:tcPr>
            <w:tcW w:w="17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-13970</wp:posOffset>
            </wp:positionV>
            <wp:extent cx="12700" cy="8255"/>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28"/>
          <w:szCs w:val="28"/>
          <w:color w:val="009A4B"/>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225" cy="17145"/>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36" w:lineRule="exact"/>
        <w:rPr>
          <w:sz w:val="20"/>
          <w:szCs w:val="20"/>
          <w:color w:val="auto"/>
        </w:rPr>
      </w:pPr>
    </w:p>
    <w:p>
      <w:pPr>
        <w:jc w:val="both"/>
        <w:ind w:right="560"/>
        <w:spacing w:after="0" w:line="248" w:lineRule="auto"/>
        <w:rPr>
          <w:sz w:val="20"/>
          <w:szCs w:val="20"/>
          <w:color w:val="auto"/>
        </w:rPr>
      </w:pPr>
      <w:r>
        <w:rPr>
          <w:rFonts w:ascii="Arial" w:cs="Arial" w:eastAsia="Arial" w:hAnsi="Arial"/>
          <w:sz w:val="16"/>
          <w:szCs w:val="16"/>
          <w:color w:val="auto"/>
        </w:rPr>
        <w:t>As required by Section 953(b) of the Dodd-Frank Wall Street Reform and Consumer Protection Act and SEC regulation, we are providing the following information about the ratio of the annual total compensation of the median Air Products employee and the annual total compensation of our CEO, Seifi Ghasemi, as of our fiscal year-end, September 30, 2021.</w:t>
      </w:r>
    </w:p>
    <w:p>
      <w:pPr>
        <w:spacing w:after="0" w:line="148"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The pay ratio is a reasonable estimate calculated in a manner consistent with SEC rules, using methodologies, reasonable assumptions and adjustments as described below.</w:t>
      </w:r>
    </w:p>
    <w:p>
      <w:pPr>
        <w:spacing w:after="0" w:line="143" w:lineRule="exact"/>
        <w:rPr>
          <w:sz w:val="20"/>
          <w:szCs w:val="20"/>
          <w:color w:val="auto"/>
        </w:rPr>
      </w:pPr>
    </w:p>
    <w:p>
      <w:pPr>
        <w:ind w:left="240" w:right="40" w:hanging="234"/>
        <w:spacing w:after="0" w:line="248" w:lineRule="auto"/>
        <w:tabs>
          <w:tab w:leader="none" w:pos="240" w:val="left"/>
        </w:tabs>
        <w:numPr>
          <w:ilvl w:val="0"/>
          <w:numId w:val="73"/>
        </w:numPr>
        <w:rPr>
          <w:rFonts w:ascii="Arial" w:cs="Arial" w:eastAsia="Arial" w:hAnsi="Arial"/>
          <w:sz w:val="16"/>
          <w:szCs w:val="16"/>
          <w:color w:val="009A4B"/>
        </w:rPr>
      </w:pPr>
      <w:r>
        <w:rPr>
          <w:rFonts w:ascii="Arial" w:cs="Arial" w:eastAsia="Arial" w:hAnsi="Arial"/>
          <w:sz w:val="16"/>
          <w:szCs w:val="16"/>
          <w:color w:val="auto"/>
        </w:rPr>
        <w:t>For purposes of the fiscal 2021 CEO pay ratio set forth below, we used the same median employee identified with respect to our 2020 CEO pay ratio, as there has been no meaningful change in the composition of our employee population or pay design that we believe would significantly impact the pay ratio disclosure.</w:t>
      </w:r>
    </w:p>
    <w:p>
      <w:pPr>
        <w:spacing w:after="0" w:line="95" w:lineRule="exact"/>
        <w:rPr>
          <w:rFonts w:ascii="Arial" w:cs="Arial" w:eastAsia="Arial" w:hAnsi="Arial"/>
          <w:sz w:val="16"/>
          <w:szCs w:val="16"/>
          <w:color w:val="009A4B"/>
        </w:rPr>
      </w:pPr>
    </w:p>
    <w:p>
      <w:pPr>
        <w:ind w:left="240" w:hanging="234"/>
        <w:spacing w:after="0"/>
        <w:tabs>
          <w:tab w:leader="none" w:pos="240" w:val="left"/>
        </w:tabs>
        <w:numPr>
          <w:ilvl w:val="0"/>
          <w:numId w:val="73"/>
        </w:numPr>
        <w:rPr>
          <w:rFonts w:ascii="Arial" w:cs="Arial" w:eastAsia="Arial" w:hAnsi="Arial"/>
          <w:sz w:val="16"/>
          <w:szCs w:val="16"/>
          <w:color w:val="009A4B"/>
        </w:rPr>
      </w:pPr>
      <w:r>
        <w:rPr>
          <w:rFonts w:ascii="Arial" w:cs="Arial" w:eastAsia="Arial" w:hAnsi="Arial"/>
          <w:sz w:val="16"/>
          <w:szCs w:val="16"/>
          <w:color w:val="auto"/>
        </w:rPr>
        <w:t>The median employee annual total compensation was $68,613.</w:t>
      </w:r>
    </w:p>
    <w:p>
      <w:pPr>
        <w:spacing w:after="0" w:line="108" w:lineRule="exact"/>
        <w:rPr>
          <w:rFonts w:ascii="Arial" w:cs="Arial" w:eastAsia="Arial" w:hAnsi="Arial"/>
          <w:sz w:val="16"/>
          <w:szCs w:val="16"/>
          <w:color w:val="009A4B"/>
        </w:rPr>
      </w:pPr>
    </w:p>
    <w:p>
      <w:pPr>
        <w:ind w:left="240" w:hanging="234"/>
        <w:spacing w:after="0"/>
        <w:tabs>
          <w:tab w:leader="none" w:pos="240" w:val="left"/>
        </w:tabs>
        <w:numPr>
          <w:ilvl w:val="0"/>
          <w:numId w:val="73"/>
        </w:numPr>
        <w:rPr>
          <w:rFonts w:ascii="Arial" w:cs="Arial" w:eastAsia="Arial" w:hAnsi="Arial"/>
          <w:sz w:val="16"/>
          <w:szCs w:val="16"/>
          <w:color w:val="009A4B"/>
        </w:rPr>
      </w:pPr>
      <w:r>
        <w:rPr>
          <w:rFonts w:ascii="Arial" w:cs="Arial" w:eastAsia="Arial" w:hAnsi="Arial"/>
          <w:sz w:val="16"/>
          <w:szCs w:val="16"/>
          <w:color w:val="auto"/>
        </w:rPr>
        <w:t>The annual total compensation of our CEO, as reported in the Summary Compensation Table of this proxy statement, was $13,819,010.</w:t>
      </w:r>
    </w:p>
    <w:p>
      <w:pPr>
        <w:spacing w:after="0" w:line="108" w:lineRule="exact"/>
        <w:rPr>
          <w:rFonts w:ascii="Arial" w:cs="Arial" w:eastAsia="Arial" w:hAnsi="Arial"/>
          <w:sz w:val="16"/>
          <w:szCs w:val="16"/>
          <w:color w:val="009A4B"/>
        </w:rPr>
      </w:pPr>
    </w:p>
    <w:p>
      <w:pPr>
        <w:ind w:left="240" w:right="100" w:hanging="234"/>
        <w:spacing w:after="0" w:line="254" w:lineRule="auto"/>
        <w:tabs>
          <w:tab w:leader="none" w:pos="240" w:val="left"/>
        </w:tabs>
        <w:numPr>
          <w:ilvl w:val="0"/>
          <w:numId w:val="73"/>
        </w:numPr>
        <w:rPr>
          <w:rFonts w:ascii="Arial" w:cs="Arial" w:eastAsia="Arial" w:hAnsi="Arial"/>
          <w:sz w:val="16"/>
          <w:szCs w:val="16"/>
          <w:color w:val="009A4B"/>
        </w:rPr>
      </w:pPr>
      <w:r>
        <w:rPr>
          <w:rFonts w:ascii="Arial" w:cs="Arial" w:eastAsia="Arial" w:hAnsi="Arial"/>
          <w:sz w:val="16"/>
          <w:szCs w:val="16"/>
          <w:color w:val="auto"/>
        </w:rPr>
        <w:t>Based on this information, the estimated ratio of annual total compensation of our CEO to the annual total compensation of our median employee in fiscal 2021 was 201 to 1.</w:t>
      </w:r>
    </w:p>
    <w:p>
      <w:pPr>
        <w:spacing w:after="0" w:line="143"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As previously disclosed, to identify the median employee from our employee population we used annual base salary as our consistently applied compensation measure. For hourly employees, annual salary was estimated by multiplying the hourly rate by the scheduled work hours for each work location. After identifying the median employee, the Company calculated annual total compensation for both the median employee and the CEO in accordance with SEC rules to determine the pay ratio. Under the SEC’s rules and guidance, companies are allowed to adopt numerous ways to identify the median employee. In addition, other companies have different employee demographics and compensation and benefit practices. As a result, CEO pay ratios reported by other companies may vary significantly and likely are not comparable to our 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94615</wp:posOffset>
            </wp:positionV>
            <wp:extent cx="845185" cy="202565"/>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845185" cy="20256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7155180" cy="20955"/>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134225" cy="132715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7134225" cy="132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
        <w:spacing w:after="0"/>
        <w:rPr>
          <w:sz w:val="20"/>
          <w:szCs w:val="20"/>
          <w:color w:val="auto"/>
        </w:rPr>
      </w:pPr>
      <w:r>
        <w:rPr>
          <w:rFonts w:ascii="Arial" w:cs="Arial" w:eastAsia="Arial" w:hAnsi="Arial"/>
          <w:sz w:val="44"/>
          <w:szCs w:val="44"/>
          <w:b w:val="1"/>
          <w:bCs w:val="1"/>
          <w:color w:val="009A4B"/>
        </w:rPr>
        <w:t>Audit and Finance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264795</wp:posOffset>
            </wp:positionV>
            <wp:extent cx="7134225" cy="224028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7134225" cy="224028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tbl>
      <w:tblPr>
        <w:tblLayout w:type="fixed"/>
        <w:tblInd w:w="220" w:type="dxa"/>
        <w:tblCellMar>
          <w:top w:w="0" w:type="dxa"/>
          <w:left w:w="0" w:type="dxa"/>
          <w:bottom w:w="0" w:type="dxa"/>
          <w:right w:w="0" w:type="dxa"/>
        </w:tblCellMar>
      </w:tblPr>
      <w:tr>
        <w:trPr>
          <w:trHeight w:val="259"/>
        </w:trPr>
        <w:tc>
          <w:tcPr>
            <w:tcW w:w="900" w:type="dxa"/>
            <w:vAlign w:val="bottom"/>
            <w:vMerge w:val="restart"/>
          </w:tcPr>
          <w:p>
            <w:pPr>
              <w:spacing w:after="0"/>
              <w:rPr>
                <w:sz w:val="20"/>
                <w:szCs w:val="20"/>
                <w:color w:val="auto"/>
              </w:rPr>
            </w:pPr>
            <w:r>
              <w:rPr>
                <w:rFonts w:ascii="Arial" w:cs="Arial" w:eastAsia="Arial" w:hAnsi="Arial"/>
                <w:sz w:val="12"/>
                <w:szCs w:val="12"/>
                <w:b w:val="1"/>
                <w:bCs w:val="1"/>
                <w:color w:val="FFFFFF"/>
              </w:rPr>
              <w:t>PROPOSAL</w:t>
            </w:r>
          </w:p>
        </w:tc>
        <w:tc>
          <w:tcPr>
            <w:tcW w:w="5060" w:type="dxa"/>
            <w:vAlign w:val="bottom"/>
          </w:tcPr>
          <w:p>
            <w:pPr>
              <w:ind w:left="200"/>
              <w:spacing w:after="0"/>
              <w:rPr>
                <w:sz w:val="20"/>
                <w:szCs w:val="20"/>
                <w:color w:val="auto"/>
              </w:rPr>
            </w:pPr>
            <w:r>
              <w:rPr>
                <w:rFonts w:ascii="Arial" w:cs="Arial" w:eastAsia="Arial" w:hAnsi="Arial"/>
                <w:sz w:val="20"/>
                <w:szCs w:val="20"/>
                <w:b w:val="1"/>
                <w:bCs w:val="1"/>
                <w:color w:val="auto"/>
                <w:w w:val="97"/>
              </w:rPr>
              <w:t>Ratification of Appointment of Independent Auditors</w:t>
            </w:r>
          </w:p>
        </w:tc>
        <w:tc>
          <w:tcPr>
            <w:tcW w:w="0" w:type="dxa"/>
            <w:vAlign w:val="bottom"/>
          </w:tcPr>
          <w:p>
            <w:pPr>
              <w:spacing w:after="0"/>
              <w:rPr>
                <w:sz w:val="1"/>
                <w:szCs w:val="1"/>
                <w:color w:val="auto"/>
              </w:rPr>
            </w:pPr>
          </w:p>
        </w:tc>
      </w:tr>
      <w:tr>
        <w:trPr>
          <w:trHeight w:val="43"/>
        </w:trPr>
        <w:tc>
          <w:tcPr>
            <w:tcW w:w="900" w:type="dxa"/>
            <w:vAlign w:val="bottom"/>
            <w:vMerge w:val="continue"/>
          </w:tcPr>
          <w:p>
            <w:pPr>
              <w:spacing w:after="0"/>
              <w:rPr>
                <w:sz w:val="3"/>
                <w:szCs w:val="3"/>
                <w:color w:val="auto"/>
              </w:rPr>
            </w:pPr>
          </w:p>
        </w:tc>
        <w:tc>
          <w:tcPr>
            <w:tcW w:w="50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320" w:right="40" w:hanging="925"/>
        <w:spacing w:after="0" w:line="187" w:lineRule="auto"/>
        <w:tabs>
          <w:tab w:leader="none" w:pos="1320" w:val="left"/>
        </w:tabs>
        <w:numPr>
          <w:ilvl w:val="0"/>
          <w:numId w:val="74"/>
        </w:numPr>
        <w:rPr>
          <w:rFonts w:ascii="Arial" w:cs="Arial" w:eastAsia="Arial" w:hAnsi="Arial"/>
          <w:sz w:val="64"/>
          <w:szCs w:val="64"/>
          <w:color w:val="FFFFFF"/>
        </w:rPr>
      </w:pPr>
      <w:r>
        <w:rPr>
          <w:rFonts w:ascii="Arial" w:cs="Arial" w:eastAsia="Arial" w:hAnsi="Arial"/>
          <w:sz w:val="16"/>
          <w:szCs w:val="16"/>
          <w:color w:val="auto"/>
        </w:rPr>
        <w:t>The Audit and Finance Committee is directly responsible for the appointment, compensation, retention and oversight of the independent registered public accounting firm retained to audit the Company’s financial statements. The Audit and Finance Committee appointed Deloitte &amp; Touche LLP as our independent registered public accounting firm for fiscal 2022. The Board concurs with the appointment of Deloitte and, as a matter of good corporate governance, requests that our shareholders ratify the appointment of Deloitte even though ratification is not legally required. If shareholders do not ratify this appointment, the Audit and Finance Committee will consider such vote a recommendation to consider the appointment of another public accounting firm for the fiscal year ending September 30, 2023. Representatives of Deloitte will attend the Annual Meeting. They will have the opportunity to make a statement, if they desire to do so, and to respond to appropriate questions.</w:t>
      </w:r>
    </w:p>
    <w:p>
      <w:pPr>
        <w:spacing w:after="0" w:line="179" w:lineRule="exact"/>
        <w:rPr>
          <w:rFonts w:ascii="Arial" w:cs="Arial" w:eastAsia="Arial" w:hAnsi="Arial"/>
          <w:sz w:val="64"/>
          <w:szCs w:val="64"/>
          <w:color w:val="FFFFFF"/>
        </w:rPr>
      </w:pPr>
    </w:p>
    <w:p>
      <w:pPr>
        <w:ind w:left="1320"/>
        <w:spacing w:after="0" w:line="252" w:lineRule="auto"/>
        <w:rPr>
          <w:rFonts w:ascii="Arial" w:cs="Arial" w:eastAsia="Arial" w:hAnsi="Arial"/>
          <w:sz w:val="64"/>
          <w:szCs w:val="64"/>
          <w:color w:val="FFFFFF"/>
        </w:rPr>
      </w:pPr>
      <w:r>
        <w:rPr>
          <w:rFonts w:ascii="Arial" w:cs="Arial" w:eastAsia="Arial" w:hAnsi="Arial"/>
          <w:sz w:val="16"/>
          <w:szCs w:val="16"/>
          <w:b w:val="1"/>
          <w:bCs w:val="1"/>
          <w:color w:val="009A4B"/>
        </w:rPr>
        <w:t>The Audit and Finance Committee has appointed Deloitte as our independent registered public accounting firm for fiscal 2022. The Board believes that the engagement of Deloitte as our independent registered public accounting firm for fiscal 2022 is in the best interests of the Company and is submitting the appointment of Deloitte to our shareholders for ratification as a matter of good 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40"/>
        <w:spacing w:after="0" w:line="252" w:lineRule="auto"/>
        <w:rPr>
          <w:sz w:val="20"/>
          <w:szCs w:val="20"/>
          <w:color w:val="auto"/>
        </w:rPr>
      </w:pPr>
      <w:r>
        <w:rPr>
          <w:rFonts w:ascii="Arial" w:cs="Arial" w:eastAsia="Arial" w:hAnsi="Arial"/>
          <w:sz w:val="16"/>
          <w:szCs w:val="16"/>
          <w:color w:val="1A1A1A"/>
        </w:rPr>
        <w:t xml:space="preserve">The Board recommends a vote </w:t>
      </w:r>
      <w:r>
        <w:rPr>
          <w:rFonts w:ascii="Arial" w:cs="Arial" w:eastAsia="Arial" w:hAnsi="Arial"/>
          <w:sz w:val="16"/>
          <w:szCs w:val="16"/>
          <w:color w:val="00A4E4"/>
        </w:rPr>
        <w:t>“FOR”</w:t>
      </w:r>
      <w:r>
        <w:rPr>
          <w:rFonts w:ascii="Arial" w:cs="Arial" w:eastAsia="Arial" w:hAnsi="Arial"/>
          <w:sz w:val="16"/>
          <w:szCs w:val="16"/>
          <w:color w:val="1A1A1A"/>
        </w:rPr>
        <w:t xml:space="preserve"> the ratification of the appointment of Deloitte as the Company’s independent registered public accounting firm for fiscal 2022.</w:t>
      </w:r>
    </w:p>
    <w:p>
      <w:pPr>
        <w:spacing w:after="0" w:line="1410" w:lineRule="exact"/>
        <w:rPr>
          <w:sz w:val="20"/>
          <w:szCs w:val="20"/>
          <w:color w:val="auto"/>
        </w:rPr>
      </w:pPr>
    </w:p>
    <w:p>
      <w:pPr>
        <w:sectPr>
          <w:pgSz w:w="11900" w:h="16838" w:orient="portrait"/>
          <w:cols w:equalWidth="0" w:num="2">
            <w:col w:w="8940" w:space="340"/>
            <w:col w:w="1960"/>
          </w:cols>
          <w:pgMar w:left="320" w:top="140" w:right="339"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Arial" w:cs="Arial" w:eastAsia="Arial" w:hAnsi="Arial"/>
          <w:sz w:val="35"/>
          <w:szCs w:val="35"/>
          <w:color w:val="009A4B"/>
        </w:rPr>
        <w:t>Ratification of Independent Registered Public Accounting Firm</w:t>
      </w:r>
    </w:p>
    <w:p>
      <w:pPr>
        <w:spacing w:after="0" w:line="227"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The Audit and Finance Committee conducted a competitive process in fiscal 2018 to choose the Company’s independent registered public accounting firm for the Company’s fiscal year ending September 30, 2019. The process included consideration of, among other things, external auditor independence, capability, effectiveness and efficiency of audit services, the qualifications and experience of the lead engagement partner and proposed team, results from management and Audit and Finance Committee performance assessments, performance in Public Company Accounting Oversight Board (“PCAOB”) assessments, technological capabilities and the relative benefits of tenure versus fresh perspective. Several independent registered public accounting firms were invited to participate in this process, including our prior auditor, which served as our independent registered public accounting firm from 2002 through fiscal 2018. Following the review and evaluation of proposals from the firms participating in that process, and after careful consideration of each firm’s demonstrated qualifications, on July 24, 2018 the Audit and Finance Committee approved the engagement of Deloitte as our independent registered public accounting firm for the Company’s fiscal year ending September 30, 2019. Deloitte recently completed its third audit for the Company for the year ended September 30, 2021, which was the first audit for which Deloitte audited all years appearing in our Annual Report on Form 10-K. The Audit and Finance Committee has again appointed Deloitte as our independent registered public accounting firm for our fiscal year ending September 30, 2022. The Board believes that the engagement of Deloitte as the Company’s independent registered public accounting firm for fiscal 2022 is in the best interests of the Company and has recommended that our shareholder ratify the Audit and Finance Committee’s appointment.</w:t>
      </w:r>
    </w:p>
    <w:p>
      <w:pPr>
        <w:spacing w:after="0" w:line="151" w:lineRule="exact"/>
        <w:rPr>
          <w:sz w:val="20"/>
          <w:szCs w:val="20"/>
          <w:color w:val="auto"/>
        </w:rPr>
      </w:pPr>
    </w:p>
    <w:p>
      <w:pPr>
        <w:ind w:right="440"/>
        <w:spacing w:after="0" w:line="254" w:lineRule="auto"/>
        <w:rPr>
          <w:sz w:val="20"/>
          <w:szCs w:val="20"/>
          <w:color w:val="auto"/>
        </w:rPr>
      </w:pPr>
      <w:r>
        <w:rPr>
          <w:rFonts w:ascii="Arial" w:cs="Arial" w:eastAsia="Arial" w:hAnsi="Arial"/>
          <w:sz w:val="16"/>
          <w:szCs w:val="16"/>
          <w:color w:val="auto"/>
        </w:rPr>
        <w:t>We have been advised by Deloitte that it will have a representative present at the Annual Meeting. Deloitte’s representative will have the ability to make a statement, if he or she desires, and will be available to respond to appropriate questions.</w:t>
      </w:r>
    </w:p>
    <w:p>
      <w:pPr>
        <w:spacing w:after="0" w:line="143"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Based on its evaluation, the Audit and Finance Committee believes the appointment of Deloitte is in the best interests of the Company. The Board concurs and requests that our shareholders ratify the appointment of Deloitte as the independent registered public accounting firm for fiscal 2022.</w:t>
      </w:r>
    </w:p>
    <w:p>
      <w:pPr>
        <w:spacing w:after="0" w:line="12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7155180" cy="20955"/>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35"/>
          <w:szCs w:val="35"/>
          <w:color w:val="009A4B"/>
        </w:rPr>
        <w:t>Fees of Independent Registered Public Accounting Firm</w:t>
      </w:r>
    </w:p>
    <w:p>
      <w:pPr>
        <w:spacing w:after="0" w:line="227"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color w:val="auto"/>
        </w:rPr>
        <w:t>Consistent with the Audit and Finance Committee’s responsibility for engaging the Company’s independent registered public accounting firm, all audit and permitted non-audit services performed by the Company’s independent registered public accounting firm require preapproval by the Audit and Finance Committee. The Committee approves projected services and fee estimates for these services and establishes budgets for major categories of services at its first regular quarterly meeting of the fiscal year. The Committee Chair has been designated by the Committee to approve any services arising during the year that were not preapproved by the Committee and services that were preapproved if the associated fees will cause the budget established for the type of service at issue to be exceeded by more than 10%. Services approved by the Chair are communicated to the Committee at its next regular quarterly meeting, and the Committee reviews actual and forecasted services and fees for the fiscal year at each such meeting. During fiscal 2021, all services performed by the independent registered public accounting firm were preapproved.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Fees paid to Deloitte in fiscal 2021 and in fiscal 2020 consisted of the following amounts (in millions) for each category of services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4900" w:type="dxa"/>
            <w:vAlign w:val="bottom"/>
          </w:tcPr>
          <w:p>
            <w:pPr>
              <w:jc w:val="right"/>
              <w:ind w:right="43"/>
              <w:spacing w:after="0"/>
              <w:rPr>
                <w:sz w:val="20"/>
                <w:szCs w:val="20"/>
                <w:color w:val="auto"/>
              </w:rPr>
            </w:pPr>
            <w:r>
              <w:rPr>
                <w:rFonts w:ascii="Arial" w:cs="Arial" w:eastAsia="Arial" w:hAnsi="Arial"/>
                <w:sz w:val="14"/>
                <w:szCs w:val="14"/>
                <w:b w:val="1"/>
                <w:bCs w:val="1"/>
                <w:color w:val="auto"/>
              </w:rPr>
              <w:t>Deloitte Fees</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Deloitte Fees</w:t>
            </w:r>
          </w:p>
        </w:tc>
      </w:tr>
      <w:tr>
        <w:trPr>
          <w:trHeight w:val="160"/>
        </w:trPr>
        <w:tc>
          <w:tcPr>
            <w:tcW w:w="5280" w:type="dxa"/>
            <w:vAlign w:val="bottom"/>
          </w:tcPr>
          <w:p>
            <w:pPr>
              <w:spacing w:after="0"/>
              <w:rPr>
                <w:sz w:val="13"/>
                <w:szCs w:val="13"/>
                <w:color w:val="auto"/>
              </w:rPr>
            </w:pPr>
          </w:p>
        </w:tc>
        <w:tc>
          <w:tcPr>
            <w:tcW w:w="4900" w:type="dxa"/>
            <w:vAlign w:val="bottom"/>
          </w:tcPr>
          <w:p>
            <w:pPr>
              <w:jc w:val="right"/>
              <w:ind w:right="43"/>
              <w:spacing w:after="0" w:line="160" w:lineRule="exact"/>
              <w:rPr>
                <w:sz w:val="20"/>
                <w:szCs w:val="20"/>
                <w:color w:val="auto"/>
              </w:rPr>
            </w:pPr>
            <w:r>
              <w:rPr>
                <w:rFonts w:ascii="Arial" w:cs="Arial" w:eastAsia="Arial" w:hAnsi="Arial"/>
                <w:sz w:val="14"/>
                <w:szCs w:val="14"/>
                <w:b w:val="1"/>
                <w:bCs w:val="1"/>
                <w:color w:val="auto"/>
              </w:rPr>
              <w:t>2020</w:t>
            </w:r>
          </w:p>
        </w:tc>
        <w:tc>
          <w:tcPr>
            <w:tcW w:w="106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2021</w:t>
            </w:r>
          </w:p>
        </w:tc>
      </w:tr>
      <w:tr>
        <w:trPr>
          <w:trHeight w:val="206"/>
        </w:trPr>
        <w:tc>
          <w:tcPr>
            <w:tcW w:w="52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Fees</w:t>
            </w:r>
          </w:p>
        </w:tc>
        <w:tc>
          <w:tcPr>
            <w:tcW w:w="490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33"/>
        </w:trPr>
        <w:tc>
          <w:tcPr>
            <w:tcW w:w="5280" w:type="dxa"/>
            <w:vAlign w:val="bottom"/>
            <w:tcBorders>
              <w:bottom w:val="single" w:sz="8" w:color="949599"/>
            </w:tcBorders>
          </w:tcPr>
          <w:p>
            <w:pPr>
              <w:ind w:left="80"/>
              <w:spacing w:after="0"/>
              <w:rPr>
                <w:sz w:val="20"/>
                <w:szCs w:val="20"/>
                <w:color w:val="auto"/>
              </w:rPr>
            </w:pPr>
            <w:r>
              <w:rPr>
                <w:rFonts w:ascii="Arial" w:cs="Arial" w:eastAsia="Arial" w:hAnsi="Arial"/>
                <w:sz w:val="16"/>
                <w:szCs w:val="16"/>
                <w:color w:val="auto"/>
              </w:rPr>
              <w:t>Audit Fees</w:t>
            </w:r>
          </w:p>
        </w:tc>
        <w:tc>
          <w:tcPr>
            <w:tcW w:w="4900" w:type="dxa"/>
            <w:vAlign w:val="bottom"/>
            <w:tcBorders>
              <w:bottom w:val="single" w:sz="8" w:color="949599"/>
            </w:tcBorders>
          </w:tcPr>
          <w:p>
            <w:pPr>
              <w:jc w:val="right"/>
              <w:ind w:right="43"/>
              <w:spacing w:after="0"/>
              <w:rPr>
                <w:sz w:val="20"/>
                <w:szCs w:val="20"/>
                <w:color w:val="auto"/>
              </w:rPr>
            </w:pPr>
            <w:r>
              <w:rPr>
                <w:rFonts w:ascii="Arial" w:cs="Arial" w:eastAsia="Arial" w:hAnsi="Arial"/>
                <w:sz w:val="16"/>
                <w:szCs w:val="16"/>
                <w:color w:val="auto"/>
              </w:rPr>
              <w:t>5.9</w:t>
            </w:r>
          </w:p>
        </w:tc>
        <w:tc>
          <w:tcPr>
            <w:tcW w:w="106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6.7</w:t>
            </w:r>
          </w:p>
        </w:tc>
      </w:tr>
      <w:tr>
        <w:trPr>
          <w:trHeight w:val="233"/>
        </w:trPr>
        <w:tc>
          <w:tcPr>
            <w:tcW w:w="5280" w:type="dxa"/>
            <w:vAlign w:val="bottom"/>
            <w:tcBorders>
              <w:bottom w:val="single" w:sz="8" w:color="949599"/>
            </w:tcBorders>
          </w:tcPr>
          <w:p>
            <w:pPr>
              <w:ind w:left="80"/>
              <w:spacing w:after="0"/>
              <w:rPr>
                <w:sz w:val="20"/>
                <w:szCs w:val="20"/>
                <w:color w:val="auto"/>
              </w:rPr>
            </w:pPr>
            <w:r>
              <w:rPr>
                <w:rFonts w:ascii="Arial" w:cs="Arial" w:eastAsia="Arial" w:hAnsi="Arial"/>
                <w:sz w:val="16"/>
                <w:szCs w:val="16"/>
                <w:color w:val="auto"/>
              </w:rPr>
              <w:t>Audit-related Fees</w:t>
            </w:r>
          </w:p>
        </w:tc>
        <w:tc>
          <w:tcPr>
            <w:tcW w:w="4900" w:type="dxa"/>
            <w:vAlign w:val="bottom"/>
            <w:tcBorders>
              <w:bottom w:val="single" w:sz="8" w:color="949599"/>
            </w:tcBorders>
          </w:tcPr>
          <w:p>
            <w:pPr>
              <w:jc w:val="right"/>
              <w:ind w:right="43"/>
              <w:spacing w:after="0"/>
              <w:rPr>
                <w:sz w:val="20"/>
                <w:szCs w:val="20"/>
                <w:color w:val="auto"/>
              </w:rPr>
            </w:pPr>
            <w:r>
              <w:rPr>
                <w:rFonts w:ascii="Arial" w:cs="Arial" w:eastAsia="Arial" w:hAnsi="Arial"/>
                <w:sz w:val="16"/>
                <w:szCs w:val="16"/>
                <w:color w:val="auto"/>
              </w:rPr>
              <w:t>0.5</w:t>
            </w:r>
          </w:p>
        </w:tc>
        <w:tc>
          <w:tcPr>
            <w:tcW w:w="106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0.6</w:t>
            </w:r>
          </w:p>
        </w:tc>
      </w:tr>
      <w:tr>
        <w:trPr>
          <w:trHeight w:val="233"/>
        </w:trPr>
        <w:tc>
          <w:tcPr>
            <w:tcW w:w="5280" w:type="dxa"/>
            <w:vAlign w:val="bottom"/>
            <w:tcBorders>
              <w:bottom w:val="single" w:sz="8" w:color="949599"/>
            </w:tcBorders>
          </w:tcPr>
          <w:p>
            <w:pPr>
              <w:ind w:left="80"/>
              <w:spacing w:after="0"/>
              <w:rPr>
                <w:sz w:val="20"/>
                <w:szCs w:val="20"/>
                <w:color w:val="auto"/>
              </w:rPr>
            </w:pPr>
            <w:r>
              <w:rPr>
                <w:rFonts w:ascii="Arial" w:cs="Arial" w:eastAsia="Arial" w:hAnsi="Arial"/>
                <w:sz w:val="16"/>
                <w:szCs w:val="16"/>
                <w:color w:val="auto"/>
              </w:rPr>
              <w:t>Tax Fees</w:t>
            </w:r>
          </w:p>
        </w:tc>
        <w:tc>
          <w:tcPr>
            <w:tcW w:w="4900" w:type="dxa"/>
            <w:vAlign w:val="bottom"/>
            <w:tcBorders>
              <w:bottom w:val="single" w:sz="8" w:color="949599"/>
            </w:tcBorders>
          </w:tcPr>
          <w:p>
            <w:pPr>
              <w:jc w:val="right"/>
              <w:ind w:right="43"/>
              <w:spacing w:after="0"/>
              <w:rPr>
                <w:sz w:val="20"/>
                <w:szCs w:val="20"/>
                <w:color w:val="auto"/>
              </w:rPr>
            </w:pPr>
            <w:r>
              <w:rPr>
                <w:rFonts w:ascii="Arial" w:cs="Arial" w:eastAsia="Arial" w:hAnsi="Arial"/>
                <w:sz w:val="16"/>
                <w:szCs w:val="16"/>
                <w:color w:val="auto"/>
              </w:rPr>
              <w:t>0.0</w:t>
            </w:r>
          </w:p>
        </w:tc>
        <w:tc>
          <w:tcPr>
            <w:tcW w:w="106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0.0</w:t>
            </w:r>
          </w:p>
        </w:tc>
      </w:tr>
      <w:tr>
        <w:trPr>
          <w:trHeight w:val="233"/>
        </w:trPr>
        <w:tc>
          <w:tcPr>
            <w:tcW w:w="5280" w:type="dxa"/>
            <w:vAlign w:val="bottom"/>
            <w:tcBorders>
              <w:bottom w:val="single" w:sz="8" w:color="949599"/>
            </w:tcBorders>
          </w:tcPr>
          <w:p>
            <w:pPr>
              <w:ind w:left="80"/>
              <w:spacing w:after="0"/>
              <w:rPr>
                <w:sz w:val="20"/>
                <w:szCs w:val="20"/>
                <w:color w:val="auto"/>
              </w:rPr>
            </w:pPr>
            <w:r>
              <w:rPr>
                <w:rFonts w:ascii="Arial" w:cs="Arial" w:eastAsia="Arial" w:hAnsi="Arial"/>
                <w:sz w:val="16"/>
                <w:szCs w:val="16"/>
                <w:color w:val="auto"/>
              </w:rPr>
              <w:t>All Other Fees</w:t>
            </w:r>
          </w:p>
        </w:tc>
        <w:tc>
          <w:tcPr>
            <w:tcW w:w="4900" w:type="dxa"/>
            <w:vAlign w:val="bottom"/>
            <w:tcBorders>
              <w:bottom w:val="single" w:sz="8" w:color="949599"/>
            </w:tcBorders>
          </w:tcPr>
          <w:p>
            <w:pPr>
              <w:jc w:val="right"/>
              <w:ind w:right="43"/>
              <w:spacing w:after="0"/>
              <w:rPr>
                <w:sz w:val="20"/>
                <w:szCs w:val="20"/>
                <w:color w:val="auto"/>
              </w:rPr>
            </w:pPr>
            <w:r>
              <w:rPr>
                <w:rFonts w:ascii="Arial" w:cs="Arial" w:eastAsia="Arial" w:hAnsi="Arial"/>
                <w:sz w:val="16"/>
                <w:szCs w:val="16"/>
                <w:color w:val="auto"/>
              </w:rPr>
              <w:t>0.0</w:t>
            </w:r>
          </w:p>
        </w:tc>
        <w:tc>
          <w:tcPr>
            <w:tcW w:w="106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0.1</w:t>
            </w:r>
          </w:p>
        </w:tc>
      </w:tr>
      <w:tr>
        <w:trPr>
          <w:trHeight w:val="246"/>
        </w:trPr>
        <w:tc>
          <w:tcPr>
            <w:tcW w:w="52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Total Fees</w:t>
            </w:r>
          </w:p>
        </w:tc>
        <w:tc>
          <w:tcPr>
            <w:tcW w:w="49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6.4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r>
    </w:tbl>
    <w:p>
      <w:pPr>
        <w:spacing w:after="0" w:line="162" w:lineRule="exact"/>
        <w:rPr>
          <w:sz w:val="20"/>
          <w:szCs w:val="20"/>
          <w:color w:val="auto"/>
        </w:rPr>
      </w:pPr>
    </w:p>
    <w:p>
      <w:pPr>
        <w:ind w:right="100"/>
        <w:spacing w:after="0" w:line="245" w:lineRule="auto"/>
        <w:rPr>
          <w:sz w:val="20"/>
          <w:szCs w:val="20"/>
          <w:color w:val="auto"/>
        </w:rPr>
      </w:pPr>
      <w:r>
        <w:rPr>
          <w:rFonts w:ascii="Arial" w:cs="Arial" w:eastAsia="Arial" w:hAnsi="Arial"/>
          <w:sz w:val="16"/>
          <w:szCs w:val="16"/>
          <w:color w:val="auto"/>
        </w:rPr>
        <w:t>Audit fees are fees for those professional services rendered in connection with the audit of the Company’s consolidated financial statements and the review of the Company’s quarterly consolidated financial statements on Form 10-Q that are customary under the standards of the PCAOB and in connection with statutory audits in foreign jurisdictions. Audit-related services consisted primarily of services rendered in connection with employee benefit plan audits, SEC registration statements, due diligence assistance and consultation on financial accounting and reporting standards. Tax fees were primarily for preparation of tax returns in non-U.S. jurisdictions, assistance with tax audits and appeals and consulting on tax reform matters.</w:t>
      </w:r>
    </w:p>
    <w:p>
      <w:pPr>
        <w:spacing w:after="0" w:line="202" w:lineRule="exact"/>
        <w:rPr>
          <w:sz w:val="20"/>
          <w:szCs w:val="20"/>
          <w:color w:val="auto"/>
        </w:rPr>
      </w:pPr>
    </w:p>
    <w:p>
      <w:pPr>
        <w:spacing w:after="0"/>
        <w:rPr>
          <w:sz w:val="20"/>
          <w:szCs w:val="20"/>
          <w:color w:val="auto"/>
        </w:rPr>
      </w:pPr>
      <w:r>
        <w:rPr>
          <w:rFonts w:ascii="Arial" w:cs="Arial" w:eastAsia="Arial" w:hAnsi="Arial"/>
          <w:sz w:val="35"/>
          <w:szCs w:val="35"/>
          <w:color w:val="009A4B"/>
        </w:rPr>
        <w:t>Audit and Finance Committee Report</w:t>
      </w:r>
    </w:p>
    <w:p>
      <w:pPr>
        <w:spacing w:after="0" w:line="227"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The Audit and Finance Committee provides oversight of the Company’s financial reporting process on behalf of the Board. Management bears primary responsibility for the financial statements and the reporting process, including the system of internal controls and disclosure controls. The independent registered public accounting firm is responsible for expressing an opinion on the conformity of the audited consolidated financial statements with United States generally accepted accounting principles.</w:t>
      </w:r>
    </w:p>
    <w:p>
      <w:pPr>
        <w:spacing w:after="0" w:line="151"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In fulfilling its responsibilities, the Audit and Finance Committee has reviewed and discussed the audited consolidated financial statements contained in the Company’s Annual Report on Form 10-K for the fiscal year ended September 30, 2021 with the Company’s management and Deloitte. The Committee has discussed with Deloitte the matters that are required to be discussed under PCAOB standards governing communications with audit committees, including the scope of Deloitte’s audit, the Company’s critical accounting policies and estimates, new accounting guidance and the critical audit matters addressed during the audit. Deloitte has provided to the Committee the written disclosures and the letter concerning independence required by applicable requirements of the PCAOB regarding independent registered public accounting firm communications with the Audit and Finance Committee, and the Committee has discussed with Deloitte the firm’s independence.</w:t>
      </w:r>
    </w:p>
    <w:p>
      <w:pPr>
        <w:spacing w:after="0" w:line="155" w:lineRule="exact"/>
        <w:rPr>
          <w:sz w:val="20"/>
          <w:szCs w:val="20"/>
          <w:color w:val="auto"/>
        </w:rPr>
      </w:pPr>
    </w:p>
    <w:p>
      <w:pPr>
        <w:ind w:right="380"/>
        <w:spacing w:after="0" w:line="254" w:lineRule="auto"/>
        <w:rPr>
          <w:sz w:val="20"/>
          <w:szCs w:val="20"/>
          <w:color w:val="auto"/>
        </w:rPr>
      </w:pPr>
      <w:r>
        <w:rPr>
          <w:rFonts w:ascii="Arial" w:cs="Arial" w:eastAsia="Arial" w:hAnsi="Arial"/>
          <w:sz w:val="16"/>
          <w:szCs w:val="16"/>
          <w:color w:val="auto"/>
        </w:rPr>
        <w:t>Based on the reviews and discussions referred to above, the Committee approved the audited consolidated financial statements and recommended to the Board that they be included in the Company’s Annual Report on Form 10-K for the fiscal year ended September 30, 2021.</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009A4B"/>
        </w:rPr>
        <w:t>Audit and Finance Committee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Matthew H. Paull, Chair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Charles I. Cogut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David H.Y. Ho</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Wayne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101600</wp:posOffset>
            </wp:positionV>
            <wp:extent cx="845185" cy="202565"/>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845185" cy="20256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7155180" cy="20955"/>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134225" cy="132715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7134225" cy="132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
        <w:spacing w:after="0"/>
        <w:rPr>
          <w:sz w:val="20"/>
          <w:szCs w:val="20"/>
          <w:color w:val="auto"/>
        </w:rPr>
      </w:pPr>
      <w:r>
        <w:rPr>
          <w:rFonts w:ascii="Arial" w:cs="Arial" w:eastAsia="Arial" w:hAnsi="Arial"/>
          <w:sz w:val="44"/>
          <w:szCs w:val="44"/>
          <w:b w:val="1"/>
          <w:bCs w:val="1"/>
          <w:color w:val="009A4B"/>
        </w:rPr>
        <w:t>Information About Stock Ownership</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35"/>
          <w:szCs w:val="35"/>
          <w:color w:val="009A4B"/>
        </w:rPr>
        <w:t>Persons Owning More than 5% of Air Products Stock</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3200" w:type="dxa"/>
            <w:vAlign w:val="bottom"/>
          </w:tcPr>
          <w:p>
            <w:pPr>
              <w:jc w:val="right"/>
              <w:ind w:right="45"/>
              <w:spacing w:after="0"/>
              <w:rPr>
                <w:sz w:val="20"/>
                <w:szCs w:val="20"/>
                <w:color w:val="auto"/>
              </w:rPr>
            </w:pPr>
            <w:r>
              <w:rPr>
                <w:rFonts w:ascii="Arial" w:cs="Arial" w:eastAsia="Arial" w:hAnsi="Arial"/>
                <w:sz w:val="14"/>
                <w:szCs w:val="14"/>
                <w:b w:val="1"/>
                <w:bCs w:val="1"/>
                <w:color w:val="auto"/>
              </w:rPr>
              <w:t>Amount and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160" w:type="dxa"/>
            <w:vAlign w:val="bottom"/>
          </w:tcPr>
          <w:p>
            <w:pPr>
              <w:spacing w:after="0"/>
              <w:rPr>
                <w:sz w:val="13"/>
                <w:szCs w:val="13"/>
                <w:color w:val="auto"/>
              </w:rPr>
            </w:pPr>
          </w:p>
        </w:tc>
        <w:tc>
          <w:tcPr>
            <w:tcW w:w="3200" w:type="dxa"/>
            <w:vAlign w:val="bottom"/>
          </w:tcPr>
          <w:p>
            <w:pPr>
              <w:jc w:val="right"/>
              <w:ind w:right="45"/>
              <w:spacing w:after="0" w:line="160" w:lineRule="exact"/>
              <w:rPr>
                <w:sz w:val="20"/>
                <w:szCs w:val="20"/>
                <w:color w:val="auto"/>
              </w:rPr>
            </w:pPr>
            <w:r>
              <w:rPr>
                <w:rFonts w:ascii="Arial" w:cs="Arial" w:eastAsia="Arial" w:hAnsi="Arial"/>
                <w:sz w:val="14"/>
                <w:szCs w:val="14"/>
                <w:b w:val="1"/>
                <w:bCs w:val="1"/>
                <w:color w:val="auto"/>
              </w:rPr>
              <w:t>Nature of</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6"/>
        </w:trPr>
        <w:tc>
          <w:tcPr>
            <w:tcW w:w="7160" w:type="dxa"/>
            <w:vAlign w:val="bottom"/>
          </w:tcPr>
          <w:p>
            <w:pPr>
              <w:spacing w:after="0"/>
              <w:rPr>
                <w:sz w:val="12"/>
                <w:szCs w:val="12"/>
                <w:color w:val="auto"/>
              </w:rPr>
            </w:pPr>
          </w:p>
        </w:tc>
        <w:tc>
          <w:tcPr>
            <w:tcW w:w="3200" w:type="dxa"/>
            <w:vAlign w:val="bottom"/>
          </w:tcPr>
          <w:p>
            <w:pPr>
              <w:jc w:val="right"/>
              <w:ind w:right="45"/>
              <w:spacing w:after="0" w:line="147" w:lineRule="exact"/>
              <w:rPr>
                <w:sz w:val="20"/>
                <w:szCs w:val="20"/>
                <w:color w:val="auto"/>
              </w:rPr>
            </w:pPr>
            <w:r>
              <w:rPr>
                <w:rFonts w:ascii="Arial" w:cs="Arial" w:eastAsia="Arial" w:hAnsi="Arial"/>
                <w:sz w:val="14"/>
                <w:szCs w:val="14"/>
                <w:b w:val="1"/>
                <w:bCs w:val="1"/>
                <w:color w:val="auto"/>
              </w:rPr>
              <w:t>Beneficial</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71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Name and Address of Beneficial Owner</w:t>
            </w:r>
          </w:p>
        </w:tc>
        <w:tc>
          <w:tcPr>
            <w:tcW w:w="320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Ownership</w:t>
            </w: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4"/>
                <w:szCs w:val="14"/>
                <w:b w:val="1"/>
                <w:bCs w:val="1"/>
                <w:color w:val="auto"/>
              </w:rPr>
              <w:t>of Class</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55"/>
        </w:trPr>
        <w:tc>
          <w:tcPr>
            <w:tcW w:w="7160" w:type="dxa"/>
            <w:vAlign w:val="bottom"/>
          </w:tcPr>
          <w:p>
            <w:pPr>
              <w:ind w:left="80"/>
              <w:spacing w:after="0" w:line="255" w:lineRule="exact"/>
              <w:rPr>
                <w:sz w:val="20"/>
                <w:szCs w:val="20"/>
                <w:color w:val="auto"/>
              </w:rPr>
            </w:pPr>
            <w:r>
              <w:rPr>
                <w:rFonts w:ascii="Arial" w:cs="Arial" w:eastAsia="Arial" w:hAnsi="Arial"/>
                <w:sz w:val="16"/>
                <w:szCs w:val="16"/>
                <w:color w:val="auto"/>
              </w:rPr>
              <w:t>The Vanguard Group (“Vanguard”)</w:t>
            </w:r>
            <w:r>
              <w:rPr>
                <w:rFonts w:ascii="Arial" w:cs="Arial" w:eastAsia="Arial" w:hAnsi="Arial"/>
                <w:sz w:val="26"/>
                <w:szCs w:val="26"/>
                <w:color w:val="auto"/>
                <w:vertAlign w:val="superscript"/>
              </w:rPr>
              <w:t>(2)</w:t>
            </w:r>
          </w:p>
        </w:tc>
        <w:tc>
          <w:tcPr>
            <w:tcW w:w="3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7160" w:type="dxa"/>
            <w:vAlign w:val="bottom"/>
          </w:tcPr>
          <w:p>
            <w:pPr>
              <w:ind w:left="80"/>
              <w:spacing w:after="0"/>
              <w:rPr>
                <w:sz w:val="20"/>
                <w:szCs w:val="20"/>
                <w:color w:val="auto"/>
              </w:rPr>
            </w:pPr>
            <w:r>
              <w:rPr>
                <w:rFonts w:ascii="Arial" w:cs="Arial" w:eastAsia="Arial" w:hAnsi="Arial"/>
                <w:sz w:val="16"/>
                <w:szCs w:val="16"/>
                <w:color w:val="auto"/>
              </w:rPr>
              <w:t>100 Vanguard Boulevard</w:t>
            </w:r>
          </w:p>
        </w:tc>
        <w:tc>
          <w:tcPr>
            <w:tcW w:w="3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160" w:type="dxa"/>
            <w:vAlign w:val="bottom"/>
            <w:tcBorders>
              <w:bottom w:val="single" w:sz="8" w:color="949599"/>
            </w:tcBorders>
          </w:tcPr>
          <w:p>
            <w:pPr>
              <w:ind w:left="80"/>
              <w:spacing w:after="0"/>
              <w:rPr>
                <w:sz w:val="20"/>
                <w:szCs w:val="20"/>
                <w:color w:val="auto"/>
              </w:rPr>
            </w:pPr>
            <w:r>
              <w:rPr>
                <w:rFonts w:ascii="Arial" w:cs="Arial" w:eastAsia="Arial" w:hAnsi="Arial"/>
                <w:sz w:val="16"/>
                <w:szCs w:val="16"/>
                <w:color w:val="auto"/>
              </w:rPr>
              <w:t>Malvern, PA 19355</w:t>
            </w:r>
          </w:p>
        </w:tc>
        <w:tc>
          <w:tcPr>
            <w:tcW w:w="3200" w:type="dxa"/>
            <w:vAlign w:val="bottom"/>
            <w:tcBorders>
              <w:bottom w:val="single" w:sz="8" w:color="949599"/>
            </w:tcBorders>
          </w:tcPr>
          <w:p>
            <w:pPr>
              <w:jc w:val="right"/>
              <w:ind w:right="45"/>
              <w:spacing w:after="0"/>
              <w:rPr>
                <w:sz w:val="20"/>
                <w:szCs w:val="20"/>
                <w:color w:val="auto"/>
              </w:rPr>
            </w:pPr>
            <w:r>
              <w:rPr>
                <w:rFonts w:ascii="Arial" w:cs="Arial" w:eastAsia="Arial" w:hAnsi="Arial"/>
                <w:sz w:val="16"/>
                <w:szCs w:val="16"/>
                <w:color w:val="auto"/>
              </w:rPr>
              <w:t>19,101,414</w:t>
            </w:r>
          </w:p>
        </w:tc>
        <w:tc>
          <w:tcPr>
            <w:tcW w:w="88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8.62%</w:t>
            </w:r>
          </w:p>
        </w:tc>
        <w:tc>
          <w:tcPr>
            <w:tcW w:w="0" w:type="dxa"/>
            <w:vAlign w:val="bottom"/>
          </w:tcPr>
          <w:p>
            <w:pPr>
              <w:spacing w:after="0"/>
              <w:rPr>
                <w:sz w:val="1"/>
                <w:szCs w:val="1"/>
                <w:color w:val="auto"/>
              </w:rPr>
            </w:pPr>
          </w:p>
        </w:tc>
      </w:tr>
      <w:tr>
        <w:trPr>
          <w:trHeight w:val="252"/>
        </w:trPr>
        <w:tc>
          <w:tcPr>
            <w:tcW w:w="7160" w:type="dxa"/>
            <w:vAlign w:val="bottom"/>
          </w:tcPr>
          <w:p>
            <w:pPr>
              <w:ind w:left="80"/>
              <w:spacing w:after="0" w:line="252" w:lineRule="exact"/>
              <w:rPr>
                <w:sz w:val="20"/>
                <w:szCs w:val="20"/>
                <w:color w:val="auto"/>
              </w:rPr>
            </w:pPr>
            <w:r>
              <w:rPr>
                <w:rFonts w:ascii="Arial" w:cs="Arial" w:eastAsia="Arial" w:hAnsi="Arial"/>
                <w:sz w:val="16"/>
                <w:szCs w:val="16"/>
                <w:color w:val="auto"/>
              </w:rPr>
              <w:t>Black Rock, Inc.</w:t>
            </w:r>
            <w:r>
              <w:rPr>
                <w:rFonts w:ascii="Arial" w:cs="Arial" w:eastAsia="Arial" w:hAnsi="Arial"/>
                <w:sz w:val="26"/>
                <w:szCs w:val="26"/>
                <w:color w:val="auto"/>
                <w:vertAlign w:val="superscript"/>
              </w:rPr>
              <w:t>(3)</w:t>
            </w:r>
          </w:p>
        </w:tc>
        <w:tc>
          <w:tcPr>
            <w:tcW w:w="3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80"/>
              <w:spacing w:after="0" w:line="228" w:lineRule="exact"/>
              <w:rPr>
                <w:sz w:val="20"/>
                <w:szCs w:val="20"/>
                <w:color w:val="auto"/>
              </w:rPr>
            </w:pPr>
            <w:r>
              <w:rPr>
                <w:rFonts w:ascii="Arial" w:cs="Arial" w:eastAsia="Arial" w:hAnsi="Arial"/>
                <w:sz w:val="16"/>
                <w:szCs w:val="16"/>
                <w:color w:val="auto"/>
              </w:rPr>
              <w:t>55 East 52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w:t>
            </w:r>
          </w:p>
        </w:tc>
        <w:tc>
          <w:tcPr>
            <w:tcW w:w="3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7160" w:type="dxa"/>
            <w:vAlign w:val="bottom"/>
            <w:tcBorders>
              <w:bottom w:val="single" w:sz="8" w:color="949599"/>
            </w:tcBorders>
          </w:tcPr>
          <w:p>
            <w:pPr>
              <w:ind w:left="80"/>
              <w:spacing w:after="0"/>
              <w:rPr>
                <w:sz w:val="20"/>
                <w:szCs w:val="20"/>
                <w:color w:val="auto"/>
              </w:rPr>
            </w:pPr>
            <w:r>
              <w:rPr>
                <w:rFonts w:ascii="Arial" w:cs="Arial" w:eastAsia="Arial" w:hAnsi="Arial"/>
                <w:sz w:val="16"/>
                <w:szCs w:val="16"/>
                <w:color w:val="auto"/>
              </w:rPr>
              <w:t>New York, NY 10055</w:t>
            </w:r>
          </w:p>
        </w:tc>
        <w:tc>
          <w:tcPr>
            <w:tcW w:w="3200" w:type="dxa"/>
            <w:vAlign w:val="bottom"/>
            <w:tcBorders>
              <w:bottom w:val="single" w:sz="8" w:color="949599"/>
            </w:tcBorders>
          </w:tcPr>
          <w:p>
            <w:pPr>
              <w:jc w:val="right"/>
              <w:ind w:right="45"/>
              <w:spacing w:after="0"/>
              <w:rPr>
                <w:sz w:val="20"/>
                <w:szCs w:val="20"/>
                <w:color w:val="auto"/>
              </w:rPr>
            </w:pPr>
            <w:r>
              <w:rPr>
                <w:rFonts w:ascii="Arial" w:cs="Arial" w:eastAsia="Arial" w:hAnsi="Arial"/>
                <w:sz w:val="16"/>
                <w:szCs w:val="16"/>
                <w:color w:val="auto"/>
              </w:rPr>
              <w:t>16,162,103</w:t>
            </w:r>
          </w:p>
        </w:tc>
        <w:tc>
          <w:tcPr>
            <w:tcW w:w="88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7.30%</w:t>
            </w:r>
          </w:p>
        </w:tc>
        <w:tc>
          <w:tcPr>
            <w:tcW w:w="0" w:type="dxa"/>
            <w:vAlign w:val="bottom"/>
          </w:tcPr>
          <w:p>
            <w:pPr>
              <w:spacing w:after="0"/>
              <w:rPr>
                <w:sz w:val="1"/>
                <w:szCs w:val="1"/>
                <w:color w:val="auto"/>
              </w:rPr>
            </w:pPr>
          </w:p>
        </w:tc>
      </w:tr>
      <w:tr>
        <w:trPr>
          <w:trHeight w:val="255"/>
        </w:trPr>
        <w:tc>
          <w:tcPr>
            <w:tcW w:w="7160" w:type="dxa"/>
            <w:vAlign w:val="bottom"/>
          </w:tcPr>
          <w:p>
            <w:pPr>
              <w:ind w:left="80"/>
              <w:spacing w:after="0" w:line="255" w:lineRule="exact"/>
              <w:rPr>
                <w:sz w:val="20"/>
                <w:szCs w:val="20"/>
                <w:color w:val="auto"/>
              </w:rPr>
            </w:pPr>
            <w:r>
              <w:rPr>
                <w:rFonts w:ascii="Arial" w:cs="Arial" w:eastAsia="Arial" w:hAnsi="Arial"/>
                <w:sz w:val="16"/>
                <w:szCs w:val="16"/>
                <w:color w:val="auto"/>
              </w:rPr>
              <w:t>State Farm Mutual Automobile Insurance Company (“State Farm”)</w:t>
            </w:r>
            <w:r>
              <w:rPr>
                <w:rFonts w:ascii="Arial" w:cs="Arial" w:eastAsia="Arial" w:hAnsi="Arial"/>
                <w:sz w:val="26"/>
                <w:szCs w:val="26"/>
                <w:color w:val="auto"/>
                <w:vertAlign w:val="superscript"/>
              </w:rPr>
              <w:t>(4)</w:t>
            </w:r>
          </w:p>
        </w:tc>
        <w:tc>
          <w:tcPr>
            <w:tcW w:w="3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7160" w:type="dxa"/>
            <w:vAlign w:val="bottom"/>
          </w:tcPr>
          <w:p>
            <w:pPr>
              <w:ind w:left="80"/>
              <w:spacing w:after="0"/>
              <w:rPr>
                <w:sz w:val="20"/>
                <w:szCs w:val="20"/>
                <w:color w:val="auto"/>
              </w:rPr>
            </w:pPr>
            <w:r>
              <w:rPr>
                <w:rFonts w:ascii="Arial" w:cs="Arial" w:eastAsia="Arial" w:hAnsi="Arial"/>
                <w:sz w:val="16"/>
                <w:szCs w:val="16"/>
                <w:color w:val="auto"/>
              </w:rPr>
              <w:t>One State Farm Plaza</w:t>
            </w:r>
          </w:p>
        </w:tc>
        <w:tc>
          <w:tcPr>
            <w:tcW w:w="3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1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Bloomington, IL 61710</w:t>
            </w:r>
          </w:p>
        </w:tc>
        <w:tc>
          <w:tcPr>
            <w:tcW w:w="32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14,114,142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bl>
    <w:p>
      <w:pPr>
        <w:spacing w:after="0" w:line="6" w:lineRule="exact"/>
        <w:rPr>
          <w:sz w:val="20"/>
          <w:szCs w:val="20"/>
          <w:color w:val="auto"/>
        </w:rPr>
      </w:pPr>
    </w:p>
    <w:p>
      <w:pPr>
        <w:ind w:left="300" w:hanging="294"/>
        <w:spacing w:after="0"/>
        <w:tabs>
          <w:tab w:leader="none" w:pos="300" w:val="left"/>
        </w:tabs>
        <w:numPr>
          <w:ilvl w:val="0"/>
          <w:numId w:val="75"/>
        </w:numPr>
        <w:rPr>
          <w:rFonts w:ascii="Arial" w:cs="Arial" w:eastAsia="Arial" w:hAnsi="Arial"/>
          <w:sz w:val="24"/>
          <w:szCs w:val="24"/>
          <w:color w:val="auto"/>
          <w:vertAlign w:val="superscript"/>
        </w:rPr>
      </w:pPr>
      <w:r>
        <w:rPr>
          <w:rFonts w:ascii="Arial" w:cs="Arial" w:eastAsia="Arial" w:hAnsi="Arial"/>
          <w:sz w:val="14"/>
          <w:szCs w:val="14"/>
          <w:color w:val="auto"/>
        </w:rPr>
        <w:t>Calculated based on 221,478,142 shares of common stock outstanding as of November 5, 2021.</w:t>
      </w:r>
    </w:p>
    <w:p>
      <w:pPr>
        <w:spacing w:after="0" w:line="95" w:lineRule="exact"/>
        <w:rPr>
          <w:rFonts w:ascii="Arial" w:cs="Arial" w:eastAsia="Arial" w:hAnsi="Arial"/>
          <w:sz w:val="24"/>
          <w:szCs w:val="24"/>
          <w:color w:val="auto"/>
          <w:vertAlign w:val="superscript"/>
        </w:rPr>
      </w:pPr>
    </w:p>
    <w:p>
      <w:pPr>
        <w:ind w:left="300" w:right="60" w:hanging="294"/>
        <w:spacing w:after="0" w:line="181" w:lineRule="auto"/>
        <w:tabs>
          <w:tab w:leader="none" w:pos="300" w:val="left"/>
        </w:tabs>
        <w:numPr>
          <w:ilvl w:val="0"/>
          <w:numId w:val="75"/>
        </w:numPr>
        <w:rPr>
          <w:rFonts w:ascii="Arial" w:cs="Arial" w:eastAsia="Arial" w:hAnsi="Arial"/>
          <w:sz w:val="24"/>
          <w:szCs w:val="24"/>
          <w:color w:val="auto"/>
          <w:vertAlign w:val="superscript"/>
        </w:rPr>
      </w:pPr>
      <w:r>
        <w:rPr>
          <w:rFonts w:ascii="Arial" w:cs="Arial" w:eastAsia="Arial" w:hAnsi="Arial"/>
          <w:sz w:val="14"/>
          <w:szCs w:val="14"/>
          <w:color w:val="auto"/>
        </w:rPr>
        <w:t>As reported in Amendment No. 10 to its Schedule 13G filed with the SEC on February 10, 2021, Vanguard has shared voting power over 370,380 shares, sole power to direct the disposition of 18,126,587 shares and shared power to direct disposition of 974,827 shares.</w:t>
      </w:r>
    </w:p>
    <w:p>
      <w:pPr>
        <w:spacing w:after="0" w:line="96" w:lineRule="exact"/>
        <w:rPr>
          <w:rFonts w:ascii="Arial" w:cs="Arial" w:eastAsia="Arial" w:hAnsi="Arial"/>
          <w:sz w:val="24"/>
          <w:szCs w:val="24"/>
          <w:color w:val="auto"/>
          <w:vertAlign w:val="superscript"/>
        </w:rPr>
      </w:pPr>
    </w:p>
    <w:p>
      <w:pPr>
        <w:ind w:left="300" w:right="60" w:hanging="294"/>
        <w:spacing w:after="0" w:line="181" w:lineRule="auto"/>
        <w:tabs>
          <w:tab w:leader="none" w:pos="300" w:val="left"/>
        </w:tabs>
        <w:numPr>
          <w:ilvl w:val="0"/>
          <w:numId w:val="75"/>
        </w:numPr>
        <w:rPr>
          <w:rFonts w:ascii="Arial" w:cs="Arial" w:eastAsia="Arial" w:hAnsi="Arial"/>
          <w:sz w:val="24"/>
          <w:szCs w:val="24"/>
          <w:color w:val="auto"/>
          <w:vertAlign w:val="superscript"/>
        </w:rPr>
      </w:pPr>
      <w:r>
        <w:rPr>
          <w:rFonts w:ascii="Arial" w:cs="Arial" w:eastAsia="Arial" w:hAnsi="Arial"/>
          <w:sz w:val="14"/>
          <w:szCs w:val="14"/>
          <w:color w:val="auto"/>
        </w:rPr>
        <w:t>As reported in Amendment No. 5 to its Schedule 13G filed with the SEC on January 29, 2021, Black Rock, Inc. has sole voting power over 14,252,884 shares and sole power to direct the disposition of 16,162,103 shares.</w:t>
      </w:r>
    </w:p>
    <w:p>
      <w:pPr>
        <w:spacing w:after="0" w:line="96" w:lineRule="exact"/>
        <w:rPr>
          <w:rFonts w:ascii="Arial" w:cs="Arial" w:eastAsia="Arial" w:hAnsi="Arial"/>
          <w:sz w:val="24"/>
          <w:szCs w:val="24"/>
          <w:color w:val="auto"/>
          <w:vertAlign w:val="superscript"/>
        </w:rPr>
      </w:pPr>
    </w:p>
    <w:p>
      <w:pPr>
        <w:ind w:left="300" w:right="100" w:hanging="294"/>
        <w:spacing w:after="0" w:line="196" w:lineRule="auto"/>
        <w:tabs>
          <w:tab w:leader="none" w:pos="300" w:val="left"/>
        </w:tabs>
        <w:numPr>
          <w:ilvl w:val="0"/>
          <w:numId w:val="75"/>
        </w:numPr>
        <w:rPr>
          <w:rFonts w:ascii="Arial" w:cs="Arial" w:eastAsia="Arial" w:hAnsi="Arial"/>
          <w:sz w:val="24"/>
          <w:szCs w:val="24"/>
          <w:color w:val="auto"/>
          <w:vertAlign w:val="superscript"/>
        </w:rPr>
      </w:pPr>
      <w:r>
        <w:rPr>
          <w:rFonts w:ascii="Arial" w:cs="Arial" w:eastAsia="Arial" w:hAnsi="Arial"/>
          <w:sz w:val="14"/>
          <w:szCs w:val="14"/>
          <w:color w:val="auto"/>
        </w:rPr>
        <w:t>As reported on its Amendment No. 31 to its Schedule 13G filed with the SEC on February 9, 2021, in the aggregate, entities affiliated with State Farm have sole voting power over 14,016,300 shares, shared voting power over 97,842 shares, sole power to direct the disposition of 14,016,300 shares and shared power to direct the disposition of 97,842 shares.</w:t>
      </w:r>
    </w:p>
    <w:p>
      <w:pPr>
        <w:spacing w:after="0" w:line="11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7155180" cy="20955"/>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35"/>
          <w:szCs w:val="35"/>
          <w:color w:val="009A4B"/>
        </w:rPr>
        <w:t>Air Products Stock Beneficially Owned by Officers and Directors</w:t>
      </w:r>
    </w:p>
    <w:p>
      <w:pPr>
        <w:spacing w:after="0" w:line="227"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The table below shows the number of shares of common stock beneficially owned as of November 5, 2021 by each member of the Board and each named executive officer as well as the number of shares owned by the directors and executive officers as a group. None of the directors or executive officers own 1% or more of the Company’s common stock, individually or in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7134225" cy="103124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7134225" cy="1031240"/>
                    </a:xfrm>
                    <a:prstGeom prst="rect">
                      <a:avLst/>
                    </a:prstGeom>
                    <a:noFill/>
                  </pic:spPr>
                </pic:pic>
              </a:graphicData>
            </a:graphic>
          </wp:anchor>
        </w:drawing>
      </w:r>
    </w:p>
    <w:p>
      <w:pPr>
        <w:spacing w:after="0" w:line="224" w:lineRule="exact"/>
        <w:rPr>
          <w:sz w:val="20"/>
          <w:szCs w:val="20"/>
          <w:color w:val="auto"/>
        </w:rPr>
      </w:pPr>
    </w:p>
    <w:p>
      <w:pPr>
        <w:ind w:left="140"/>
        <w:spacing w:after="0"/>
        <w:rPr>
          <w:sz w:val="20"/>
          <w:szCs w:val="20"/>
          <w:color w:val="auto"/>
        </w:rPr>
      </w:pPr>
      <w:r>
        <w:rPr>
          <w:rFonts w:ascii="Arial" w:cs="Arial" w:eastAsia="Arial" w:hAnsi="Arial"/>
          <w:sz w:val="23"/>
          <w:szCs w:val="23"/>
          <w:color w:val="auto"/>
        </w:rPr>
        <w:t>Director Deferrals</w:t>
      </w:r>
    </w:p>
    <w:p>
      <w:pPr>
        <w:spacing w:after="0" w:line="172" w:lineRule="exact"/>
        <w:rPr>
          <w:sz w:val="20"/>
          <w:szCs w:val="20"/>
          <w:color w:val="auto"/>
        </w:rPr>
      </w:pPr>
    </w:p>
    <w:p>
      <w:pPr>
        <w:ind w:left="140" w:right="180"/>
        <w:spacing w:after="0" w:line="245" w:lineRule="auto"/>
        <w:rPr>
          <w:sz w:val="20"/>
          <w:szCs w:val="20"/>
          <w:color w:val="auto"/>
        </w:rPr>
      </w:pPr>
      <w:r>
        <w:rPr>
          <w:rFonts w:ascii="Arial" w:cs="Arial" w:eastAsia="Arial" w:hAnsi="Arial"/>
          <w:sz w:val="16"/>
          <w:szCs w:val="16"/>
          <w:color w:val="auto"/>
        </w:rPr>
        <w:t>As indicated in footnote 3 to the following table, two of our directors, Mr. Ghasemi and Mr. Paull, hold deferred stock units that are not reflected in this table because they have elected for such units to be settled more than 60 days following completion of Board service and, as a result, the shares of common stock underlying such units are not considered beneficially owned under SEC rules. Because deferred stock units confer the same economic rights as direct ownership of shares of our common stock, ownership of deferred stock units is counted for purposes of satisfying our stock ownership requirements for directors.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3000" w:type="dxa"/>
            <w:vAlign w:val="bottom"/>
          </w:tcPr>
          <w:p>
            <w:pPr>
              <w:jc w:val="right"/>
              <w:ind w:right="41"/>
              <w:spacing w:after="0"/>
              <w:rPr>
                <w:sz w:val="20"/>
                <w:szCs w:val="20"/>
                <w:color w:val="auto"/>
              </w:rPr>
            </w:pPr>
            <w:r>
              <w:rPr>
                <w:rFonts w:ascii="Arial" w:cs="Arial" w:eastAsia="Arial" w:hAnsi="Arial"/>
                <w:sz w:val="14"/>
                <w:szCs w:val="14"/>
                <w:b w:val="1"/>
                <w:bCs w:val="1"/>
                <w:color w:val="auto"/>
              </w:rPr>
              <w:t>Common</w:t>
            </w:r>
          </w:p>
        </w:tc>
        <w:tc>
          <w:tcPr>
            <w:tcW w:w="1040" w:type="dxa"/>
            <w:vAlign w:val="bottom"/>
          </w:tcPr>
          <w:p>
            <w:pPr>
              <w:jc w:val="right"/>
              <w:ind w:right="21"/>
              <w:spacing w:after="0"/>
              <w:rPr>
                <w:sz w:val="20"/>
                <w:szCs w:val="20"/>
                <w:color w:val="auto"/>
              </w:rPr>
            </w:pPr>
            <w:r>
              <w:rPr>
                <w:rFonts w:ascii="Arial" w:cs="Arial" w:eastAsia="Arial" w:hAnsi="Arial"/>
                <w:sz w:val="14"/>
                <w:szCs w:val="14"/>
                <w:b w:val="1"/>
                <w:bCs w:val="1"/>
                <w:color w:val="auto"/>
              </w:rPr>
              <w:t>Right to</w:t>
            </w:r>
          </w:p>
        </w:tc>
        <w:tc>
          <w:tcPr>
            <w:tcW w:w="900" w:type="dxa"/>
            <w:vAlign w:val="bottom"/>
          </w:tcPr>
          <w:p>
            <w:pPr>
              <w:spacing w:after="0"/>
              <w:rPr>
                <w:sz w:val="14"/>
                <w:szCs w:val="14"/>
                <w:color w:val="auto"/>
              </w:rPr>
            </w:pPr>
          </w:p>
        </w:tc>
      </w:tr>
      <w:tr>
        <w:trPr>
          <w:trHeight w:val="221"/>
        </w:trPr>
        <w:tc>
          <w:tcPr>
            <w:tcW w:w="63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Name of Beneficial Owner</w:t>
            </w:r>
          </w:p>
        </w:tc>
        <w:tc>
          <w:tcPr>
            <w:tcW w:w="3000" w:type="dxa"/>
            <w:vAlign w:val="bottom"/>
            <w:tcBorders>
              <w:bottom w:val="single" w:sz="8" w:color="auto"/>
            </w:tcBorders>
          </w:tcPr>
          <w:p>
            <w:pPr>
              <w:jc w:val="right"/>
              <w:ind w:right="41"/>
              <w:spacing w:after="0" w:line="214" w:lineRule="exact"/>
              <w:rPr>
                <w:sz w:val="20"/>
                <w:szCs w:val="20"/>
                <w:color w:val="auto"/>
              </w:rPr>
            </w:pPr>
            <w:r>
              <w:rPr>
                <w:rFonts w:ascii="Arial" w:cs="Arial" w:eastAsia="Arial" w:hAnsi="Arial"/>
                <w:sz w:val="14"/>
                <w:szCs w:val="14"/>
                <w:b w:val="1"/>
                <w:bCs w:val="1"/>
                <w:color w:val="auto"/>
              </w:rPr>
              <w:t>Stock</w:t>
            </w:r>
            <w:r>
              <w:rPr>
                <w:rFonts w:ascii="Arial" w:cs="Arial" w:eastAsia="Arial" w:hAnsi="Arial"/>
                <w:sz w:val="23"/>
                <w:szCs w:val="23"/>
                <w:b w:val="1"/>
                <w:bCs w:val="1"/>
                <w:color w:val="auto"/>
                <w:vertAlign w:val="superscript"/>
              </w:rPr>
              <w:t>(1)</w:t>
            </w:r>
          </w:p>
        </w:tc>
        <w:tc>
          <w:tcPr>
            <w:tcW w:w="1040" w:type="dxa"/>
            <w:vAlign w:val="bottom"/>
            <w:tcBorders>
              <w:bottom w:val="single" w:sz="8" w:color="auto"/>
            </w:tcBorders>
          </w:tcPr>
          <w:p>
            <w:pPr>
              <w:jc w:val="right"/>
              <w:ind w:right="21"/>
              <w:spacing w:after="0" w:line="214" w:lineRule="exact"/>
              <w:rPr>
                <w:sz w:val="20"/>
                <w:szCs w:val="20"/>
                <w:color w:val="auto"/>
              </w:rPr>
            </w:pPr>
            <w:r>
              <w:rPr>
                <w:rFonts w:ascii="Arial" w:cs="Arial" w:eastAsia="Arial" w:hAnsi="Arial"/>
                <w:sz w:val="14"/>
                <w:szCs w:val="14"/>
                <w:b w:val="1"/>
                <w:bCs w:val="1"/>
                <w:color w:val="auto"/>
              </w:rPr>
              <w:t>Acquire</w:t>
            </w:r>
            <w:r>
              <w:rPr>
                <w:rFonts w:ascii="Arial" w:cs="Arial" w:eastAsia="Arial" w:hAnsi="Arial"/>
                <w:sz w:val="23"/>
                <w:szCs w:val="23"/>
                <w:b w:val="1"/>
                <w:bCs w:val="1"/>
                <w:color w:val="auto"/>
                <w:vertAlign w:val="superscript"/>
              </w:rPr>
              <w:t>(2)(3)</w:t>
            </w:r>
          </w:p>
        </w:tc>
        <w:tc>
          <w:tcPr>
            <w:tcW w:w="900" w:type="dxa"/>
            <w:vAlign w:val="bottom"/>
            <w:tcBorders>
              <w:bottom w:val="single" w:sz="8" w:color="auto"/>
            </w:tcBorders>
          </w:tcPr>
          <w:p>
            <w:pPr>
              <w:jc w:val="right"/>
              <w:spacing w:after="0" w:line="214" w:lineRule="exact"/>
              <w:rPr>
                <w:sz w:val="20"/>
                <w:szCs w:val="20"/>
                <w:color w:val="auto"/>
              </w:rPr>
            </w:pPr>
            <w:r>
              <w:rPr>
                <w:rFonts w:ascii="Arial" w:cs="Arial" w:eastAsia="Arial" w:hAnsi="Arial"/>
                <w:sz w:val="14"/>
                <w:szCs w:val="14"/>
                <w:b w:val="1"/>
                <w:bCs w:val="1"/>
                <w:color w:val="auto"/>
              </w:rPr>
              <w:t>Total</w:t>
            </w:r>
            <w:r>
              <w:rPr>
                <w:rFonts w:ascii="Arial" w:cs="Arial" w:eastAsia="Arial" w:hAnsi="Arial"/>
                <w:sz w:val="23"/>
                <w:szCs w:val="23"/>
                <w:b w:val="1"/>
                <w:bCs w:val="1"/>
                <w:color w:val="auto"/>
                <w:vertAlign w:val="superscript"/>
              </w:rPr>
              <w:t>(4)</w:t>
            </w:r>
          </w:p>
        </w:tc>
      </w:tr>
      <w:tr>
        <w:trPr>
          <w:trHeight w:val="233"/>
        </w:trPr>
        <w:tc>
          <w:tcPr>
            <w:tcW w:w="6300" w:type="dxa"/>
            <w:vAlign w:val="bottom"/>
            <w:tcBorders>
              <w:bottom w:val="single" w:sz="8" w:color="949599"/>
            </w:tcBorders>
          </w:tcPr>
          <w:p>
            <w:pPr>
              <w:ind w:left="80"/>
              <w:spacing w:after="0"/>
              <w:rPr>
                <w:sz w:val="20"/>
                <w:szCs w:val="20"/>
                <w:color w:val="auto"/>
              </w:rPr>
            </w:pPr>
            <w:r>
              <w:rPr>
                <w:rFonts w:ascii="Arial" w:cs="Arial" w:eastAsia="Arial" w:hAnsi="Arial"/>
                <w:sz w:val="16"/>
                <w:szCs w:val="16"/>
                <w:b w:val="1"/>
                <w:bCs w:val="1"/>
                <w:color w:val="009A4B"/>
              </w:rPr>
              <w:t>Seifi Ghasemi</w:t>
            </w:r>
          </w:p>
        </w:tc>
        <w:tc>
          <w:tcPr>
            <w:tcW w:w="3000" w:type="dxa"/>
            <w:vAlign w:val="bottom"/>
            <w:tcBorders>
              <w:bottom w:val="single" w:sz="8" w:color="949599"/>
            </w:tcBorders>
          </w:tcPr>
          <w:p>
            <w:pPr>
              <w:jc w:val="right"/>
              <w:ind w:right="41"/>
              <w:spacing w:after="0"/>
              <w:rPr>
                <w:sz w:val="20"/>
                <w:szCs w:val="20"/>
                <w:color w:val="auto"/>
              </w:rPr>
            </w:pPr>
            <w:r>
              <w:rPr>
                <w:rFonts w:ascii="Arial" w:cs="Arial" w:eastAsia="Arial" w:hAnsi="Arial"/>
                <w:sz w:val="16"/>
                <w:szCs w:val="16"/>
                <w:color w:val="auto"/>
              </w:rPr>
              <w:t>533,409</w:t>
            </w:r>
          </w:p>
        </w:tc>
        <w:tc>
          <w:tcPr>
            <w:tcW w:w="1040" w:type="dxa"/>
            <w:vAlign w:val="bottom"/>
            <w:tcBorders>
              <w:bottom w:val="single" w:sz="8" w:color="949599"/>
            </w:tcBorders>
          </w:tcPr>
          <w:p>
            <w:pPr>
              <w:jc w:val="right"/>
              <w:ind w:right="41"/>
              <w:spacing w:after="0"/>
              <w:rPr>
                <w:sz w:val="20"/>
                <w:szCs w:val="20"/>
                <w:color w:val="auto"/>
              </w:rPr>
            </w:pPr>
            <w:r>
              <w:rPr>
                <w:rFonts w:ascii="Arial" w:cs="Arial" w:eastAsia="Arial" w:hAnsi="Arial"/>
                <w:sz w:val="16"/>
                <w:szCs w:val="16"/>
                <w:color w:val="auto"/>
              </w:rPr>
              <w:t>290,277</w:t>
            </w:r>
          </w:p>
        </w:tc>
        <w:tc>
          <w:tcPr>
            <w:tcW w:w="90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823,686</w:t>
            </w:r>
          </w:p>
        </w:tc>
      </w:tr>
      <w:tr>
        <w:trPr>
          <w:trHeight w:val="233"/>
        </w:trPr>
        <w:tc>
          <w:tcPr>
            <w:tcW w:w="6300" w:type="dxa"/>
            <w:vAlign w:val="bottom"/>
            <w:tcBorders>
              <w:bottom w:val="single" w:sz="8" w:color="949599"/>
            </w:tcBorders>
          </w:tcPr>
          <w:p>
            <w:pPr>
              <w:ind w:left="80"/>
              <w:spacing w:after="0"/>
              <w:rPr>
                <w:sz w:val="20"/>
                <w:szCs w:val="20"/>
                <w:color w:val="auto"/>
              </w:rPr>
            </w:pPr>
            <w:r>
              <w:rPr>
                <w:rFonts w:ascii="Arial" w:cs="Arial" w:eastAsia="Arial" w:hAnsi="Arial"/>
                <w:sz w:val="16"/>
                <w:szCs w:val="16"/>
                <w:b w:val="1"/>
                <w:bCs w:val="1"/>
                <w:color w:val="009A4B"/>
              </w:rPr>
              <w:t>Melissa N. Schaeffer</w:t>
            </w:r>
          </w:p>
        </w:tc>
        <w:tc>
          <w:tcPr>
            <w:tcW w:w="3000" w:type="dxa"/>
            <w:vAlign w:val="bottom"/>
            <w:tcBorders>
              <w:bottom w:val="single" w:sz="8" w:color="949599"/>
            </w:tcBorders>
          </w:tcPr>
          <w:p>
            <w:pPr>
              <w:jc w:val="right"/>
              <w:ind w:right="41"/>
              <w:spacing w:after="0"/>
              <w:rPr>
                <w:sz w:val="20"/>
                <w:szCs w:val="20"/>
                <w:color w:val="auto"/>
              </w:rPr>
            </w:pPr>
            <w:r>
              <w:rPr>
                <w:rFonts w:ascii="Arial" w:cs="Arial" w:eastAsia="Arial" w:hAnsi="Arial"/>
                <w:sz w:val="16"/>
                <w:szCs w:val="16"/>
                <w:color w:val="auto"/>
              </w:rPr>
              <w:t>1,144</w:t>
            </w:r>
          </w:p>
        </w:tc>
        <w:tc>
          <w:tcPr>
            <w:tcW w:w="1040" w:type="dxa"/>
            <w:vAlign w:val="bottom"/>
            <w:tcBorders>
              <w:bottom w:val="single" w:sz="8" w:color="949599"/>
            </w:tcBorders>
          </w:tcPr>
          <w:p>
            <w:pPr>
              <w:jc w:val="right"/>
              <w:ind w:right="21"/>
              <w:spacing w:after="0"/>
              <w:rPr>
                <w:sz w:val="20"/>
                <w:szCs w:val="20"/>
                <w:color w:val="auto"/>
              </w:rPr>
            </w:pPr>
            <w:r>
              <w:rPr>
                <w:rFonts w:ascii="Arial" w:cs="Arial" w:eastAsia="Arial" w:hAnsi="Arial"/>
                <w:sz w:val="16"/>
                <w:szCs w:val="16"/>
                <w:color w:val="auto"/>
              </w:rPr>
              <w:t>1,026</w:t>
            </w:r>
          </w:p>
        </w:tc>
        <w:tc>
          <w:tcPr>
            <w:tcW w:w="90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2,170</w:t>
            </w:r>
          </w:p>
        </w:tc>
      </w:tr>
      <w:tr>
        <w:trPr>
          <w:trHeight w:val="233"/>
        </w:trPr>
        <w:tc>
          <w:tcPr>
            <w:tcW w:w="6300" w:type="dxa"/>
            <w:vAlign w:val="bottom"/>
            <w:tcBorders>
              <w:bottom w:val="single" w:sz="8" w:color="949599"/>
            </w:tcBorders>
          </w:tcPr>
          <w:p>
            <w:pPr>
              <w:ind w:left="80"/>
              <w:spacing w:after="0"/>
              <w:rPr>
                <w:sz w:val="20"/>
                <w:szCs w:val="20"/>
                <w:color w:val="auto"/>
              </w:rPr>
            </w:pPr>
            <w:r>
              <w:rPr>
                <w:rFonts w:ascii="Arial" w:cs="Arial" w:eastAsia="Arial" w:hAnsi="Arial"/>
                <w:sz w:val="16"/>
                <w:szCs w:val="16"/>
                <w:b w:val="1"/>
                <w:bCs w:val="1"/>
                <w:color w:val="009A4B"/>
              </w:rPr>
              <w:t>M. Scott Crocco</w:t>
            </w:r>
          </w:p>
        </w:tc>
        <w:tc>
          <w:tcPr>
            <w:tcW w:w="3000" w:type="dxa"/>
            <w:vAlign w:val="bottom"/>
            <w:tcBorders>
              <w:bottom w:val="single" w:sz="8" w:color="949599"/>
            </w:tcBorders>
          </w:tcPr>
          <w:p>
            <w:pPr>
              <w:jc w:val="right"/>
              <w:ind w:right="41"/>
              <w:spacing w:after="0"/>
              <w:rPr>
                <w:sz w:val="20"/>
                <w:szCs w:val="20"/>
                <w:color w:val="auto"/>
              </w:rPr>
            </w:pPr>
            <w:r>
              <w:rPr>
                <w:rFonts w:ascii="Arial" w:cs="Arial" w:eastAsia="Arial" w:hAnsi="Arial"/>
                <w:sz w:val="16"/>
                <w:szCs w:val="16"/>
                <w:color w:val="auto"/>
              </w:rPr>
              <w:t>52,935</w:t>
            </w:r>
          </w:p>
        </w:tc>
        <w:tc>
          <w:tcPr>
            <w:tcW w:w="1040" w:type="dxa"/>
            <w:vAlign w:val="bottom"/>
            <w:tcBorders>
              <w:bottom w:val="single" w:sz="8" w:color="949599"/>
            </w:tcBorders>
          </w:tcPr>
          <w:p>
            <w:pPr>
              <w:jc w:val="right"/>
              <w:ind w:right="41"/>
              <w:spacing w:after="0"/>
              <w:rPr>
                <w:sz w:val="20"/>
                <w:szCs w:val="20"/>
                <w:color w:val="auto"/>
              </w:rPr>
            </w:pPr>
            <w:r>
              <w:rPr>
                <w:rFonts w:ascii="Arial" w:cs="Arial" w:eastAsia="Arial" w:hAnsi="Arial"/>
                <w:sz w:val="16"/>
                <w:szCs w:val="16"/>
                <w:color w:val="auto"/>
              </w:rPr>
              <w:t>61,103</w:t>
            </w:r>
          </w:p>
        </w:tc>
        <w:tc>
          <w:tcPr>
            <w:tcW w:w="90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114,038</w:t>
            </w:r>
          </w:p>
        </w:tc>
      </w:tr>
      <w:tr>
        <w:trPr>
          <w:trHeight w:val="233"/>
        </w:trPr>
        <w:tc>
          <w:tcPr>
            <w:tcW w:w="6300" w:type="dxa"/>
            <w:vAlign w:val="bottom"/>
            <w:tcBorders>
              <w:bottom w:val="single" w:sz="8" w:color="949599"/>
            </w:tcBorders>
          </w:tcPr>
          <w:p>
            <w:pPr>
              <w:ind w:left="80"/>
              <w:spacing w:after="0"/>
              <w:rPr>
                <w:sz w:val="20"/>
                <w:szCs w:val="20"/>
                <w:color w:val="auto"/>
              </w:rPr>
            </w:pPr>
            <w:r>
              <w:rPr>
                <w:rFonts w:ascii="Arial" w:cs="Arial" w:eastAsia="Arial" w:hAnsi="Arial"/>
                <w:sz w:val="16"/>
                <w:szCs w:val="16"/>
                <w:b w:val="1"/>
                <w:bCs w:val="1"/>
                <w:color w:val="009A4B"/>
              </w:rPr>
              <w:t>Sean D. Major</w:t>
            </w:r>
          </w:p>
        </w:tc>
        <w:tc>
          <w:tcPr>
            <w:tcW w:w="3000" w:type="dxa"/>
            <w:vAlign w:val="bottom"/>
            <w:tcBorders>
              <w:bottom w:val="single" w:sz="8" w:color="949599"/>
            </w:tcBorders>
          </w:tcPr>
          <w:p>
            <w:pPr>
              <w:jc w:val="right"/>
              <w:ind w:right="41"/>
              <w:spacing w:after="0"/>
              <w:rPr>
                <w:sz w:val="20"/>
                <w:szCs w:val="20"/>
                <w:color w:val="auto"/>
              </w:rPr>
            </w:pPr>
            <w:r>
              <w:rPr>
                <w:rFonts w:ascii="Arial" w:cs="Arial" w:eastAsia="Arial" w:hAnsi="Arial"/>
                <w:sz w:val="16"/>
                <w:szCs w:val="16"/>
                <w:color w:val="auto"/>
              </w:rPr>
              <w:t>6,336</w:t>
            </w:r>
          </w:p>
        </w:tc>
        <w:tc>
          <w:tcPr>
            <w:tcW w:w="1040" w:type="dxa"/>
            <w:vAlign w:val="bottom"/>
            <w:tcBorders>
              <w:bottom w:val="single" w:sz="8" w:color="949599"/>
            </w:tcBorders>
          </w:tcPr>
          <w:p>
            <w:pPr>
              <w:jc w:val="right"/>
              <w:ind w:right="21"/>
              <w:spacing w:after="0"/>
              <w:rPr>
                <w:sz w:val="20"/>
                <w:szCs w:val="20"/>
                <w:color w:val="auto"/>
              </w:rPr>
            </w:pPr>
            <w:r>
              <w:rPr>
                <w:rFonts w:ascii="Arial" w:cs="Arial" w:eastAsia="Arial" w:hAnsi="Arial"/>
                <w:sz w:val="16"/>
                <w:szCs w:val="16"/>
                <w:color w:val="auto"/>
              </w:rPr>
              <w:t>8,537</w:t>
            </w:r>
          </w:p>
        </w:tc>
        <w:tc>
          <w:tcPr>
            <w:tcW w:w="90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14,873</w:t>
            </w:r>
          </w:p>
        </w:tc>
      </w:tr>
      <w:tr>
        <w:trPr>
          <w:trHeight w:val="233"/>
        </w:trPr>
        <w:tc>
          <w:tcPr>
            <w:tcW w:w="6300" w:type="dxa"/>
            <w:vAlign w:val="bottom"/>
            <w:tcBorders>
              <w:bottom w:val="single" w:sz="8" w:color="949599"/>
            </w:tcBorders>
          </w:tcPr>
          <w:p>
            <w:pPr>
              <w:ind w:left="80"/>
              <w:spacing w:after="0"/>
              <w:rPr>
                <w:sz w:val="20"/>
                <w:szCs w:val="20"/>
                <w:color w:val="auto"/>
              </w:rPr>
            </w:pPr>
            <w:r>
              <w:rPr>
                <w:rFonts w:ascii="Arial" w:cs="Arial" w:eastAsia="Arial" w:hAnsi="Arial"/>
                <w:sz w:val="16"/>
                <w:szCs w:val="16"/>
                <w:b w:val="1"/>
                <w:bCs w:val="1"/>
                <w:color w:val="009A4B"/>
              </w:rPr>
              <w:t>Samir J. Serhan</w:t>
            </w:r>
          </w:p>
        </w:tc>
        <w:tc>
          <w:tcPr>
            <w:tcW w:w="3000" w:type="dxa"/>
            <w:vAlign w:val="bottom"/>
            <w:tcBorders>
              <w:bottom w:val="single" w:sz="8" w:color="949599"/>
            </w:tcBorders>
          </w:tcPr>
          <w:p>
            <w:pPr>
              <w:jc w:val="right"/>
              <w:ind w:right="41"/>
              <w:spacing w:after="0"/>
              <w:rPr>
                <w:sz w:val="20"/>
                <w:szCs w:val="20"/>
                <w:color w:val="auto"/>
              </w:rPr>
            </w:pPr>
            <w:r>
              <w:rPr>
                <w:rFonts w:ascii="Arial" w:cs="Arial" w:eastAsia="Arial" w:hAnsi="Arial"/>
                <w:sz w:val="16"/>
                <w:szCs w:val="16"/>
                <w:color w:val="auto"/>
              </w:rPr>
              <w:t>15,587</w:t>
            </w:r>
          </w:p>
        </w:tc>
        <w:tc>
          <w:tcPr>
            <w:tcW w:w="1040" w:type="dxa"/>
            <w:vAlign w:val="bottom"/>
            <w:tcBorders>
              <w:bottom w:val="single" w:sz="8" w:color="949599"/>
            </w:tcBorders>
          </w:tcPr>
          <w:p>
            <w:pPr>
              <w:jc w:val="right"/>
              <w:ind w:right="41"/>
              <w:spacing w:after="0"/>
              <w:rPr>
                <w:sz w:val="20"/>
                <w:szCs w:val="20"/>
                <w:color w:val="auto"/>
              </w:rPr>
            </w:pPr>
            <w:r>
              <w:rPr>
                <w:rFonts w:ascii="Arial" w:cs="Arial" w:eastAsia="Arial" w:hAnsi="Arial"/>
                <w:sz w:val="16"/>
                <w:szCs w:val="16"/>
                <w:color w:val="auto"/>
              </w:rPr>
              <w:t>15,928</w:t>
            </w:r>
          </w:p>
        </w:tc>
        <w:tc>
          <w:tcPr>
            <w:tcW w:w="90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31,515</w:t>
            </w:r>
          </w:p>
        </w:tc>
      </w:tr>
      <w:tr>
        <w:trPr>
          <w:trHeight w:val="233"/>
        </w:trPr>
        <w:tc>
          <w:tcPr>
            <w:tcW w:w="6300" w:type="dxa"/>
            <w:vAlign w:val="bottom"/>
            <w:tcBorders>
              <w:bottom w:val="single" w:sz="8" w:color="949599"/>
            </w:tcBorders>
          </w:tcPr>
          <w:p>
            <w:pPr>
              <w:ind w:left="80"/>
              <w:spacing w:after="0"/>
              <w:rPr>
                <w:sz w:val="20"/>
                <w:szCs w:val="20"/>
                <w:color w:val="auto"/>
              </w:rPr>
            </w:pPr>
            <w:r>
              <w:rPr>
                <w:rFonts w:ascii="Arial" w:cs="Arial" w:eastAsia="Arial" w:hAnsi="Arial"/>
                <w:sz w:val="16"/>
                <w:szCs w:val="16"/>
                <w:b w:val="1"/>
                <w:bCs w:val="1"/>
                <w:color w:val="009A4B"/>
              </w:rPr>
              <w:t>Charles I. Cogut</w:t>
            </w:r>
          </w:p>
        </w:tc>
        <w:tc>
          <w:tcPr>
            <w:tcW w:w="3000" w:type="dxa"/>
            <w:vAlign w:val="bottom"/>
            <w:tcBorders>
              <w:bottom w:val="single" w:sz="8" w:color="949599"/>
            </w:tcBorders>
          </w:tcPr>
          <w:p>
            <w:pPr>
              <w:jc w:val="right"/>
              <w:ind w:right="41"/>
              <w:spacing w:after="0"/>
              <w:rPr>
                <w:sz w:val="20"/>
                <w:szCs w:val="20"/>
                <w:color w:val="auto"/>
              </w:rPr>
            </w:pPr>
            <w:r>
              <w:rPr>
                <w:rFonts w:ascii="Arial" w:cs="Arial" w:eastAsia="Arial" w:hAnsi="Arial"/>
                <w:sz w:val="16"/>
                <w:szCs w:val="16"/>
                <w:color w:val="auto"/>
              </w:rPr>
              <w:t>1,200</w:t>
            </w:r>
          </w:p>
        </w:tc>
        <w:tc>
          <w:tcPr>
            <w:tcW w:w="1040" w:type="dxa"/>
            <w:vAlign w:val="bottom"/>
            <w:tcBorders>
              <w:bottom w:val="single" w:sz="8" w:color="949599"/>
            </w:tcBorders>
          </w:tcPr>
          <w:p>
            <w:pPr>
              <w:jc w:val="right"/>
              <w:ind w:right="21"/>
              <w:spacing w:after="0"/>
              <w:rPr>
                <w:sz w:val="20"/>
                <w:szCs w:val="20"/>
                <w:color w:val="auto"/>
              </w:rPr>
            </w:pPr>
            <w:r>
              <w:rPr>
                <w:rFonts w:ascii="Arial" w:cs="Arial" w:eastAsia="Arial" w:hAnsi="Arial"/>
                <w:sz w:val="16"/>
                <w:szCs w:val="16"/>
                <w:color w:val="auto"/>
              </w:rPr>
              <w:t>5,978</w:t>
            </w:r>
          </w:p>
        </w:tc>
        <w:tc>
          <w:tcPr>
            <w:tcW w:w="90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7,178</w:t>
            </w:r>
          </w:p>
        </w:tc>
      </w:tr>
      <w:tr>
        <w:trPr>
          <w:trHeight w:val="233"/>
        </w:trPr>
        <w:tc>
          <w:tcPr>
            <w:tcW w:w="6300" w:type="dxa"/>
            <w:vAlign w:val="bottom"/>
            <w:tcBorders>
              <w:bottom w:val="single" w:sz="8" w:color="949599"/>
            </w:tcBorders>
          </w:tcPr>
          <w:p>
            <w:pPr>
              <w:ind w:left="80"/>
              <w:spacing w:after="0"/>
              <w:rPr>
                <w:sz w:val="20"/>
                <w:szCs w:val="20"/>
                <w:color w:val="auto"/>
              </w:rPr>
            </w:pPr>
            <w:r>
              <w:rPr>
                <w:rFonts w:ascii="Arial" w:cs="Arial" w:eastAsia="Arial" w:hAnsi="Arial"/>
                <w:sz w:val="16"/>
                <w:szCs w:val="16"/>
                <w:b w:val="1"/>
                <w:bCs w:val="1"/>
                <w:color w:val="009A4B"/>
              </w:rPr>
              <w:t>Lisa A. Davis</w:t>
            </w:r>
          </w:p>
        </w:tc>
        <w:tc>
          <w:tcPr>
            <w:tcW w:w="3000" w:type="dxa"/>
            <w:vAlign w:val="bottom"/>
            <w:tcBorders>
              <w:bottom w:val="single" w:sz="8" w:color="949599"/>
            </w:tcBorders>
          </w:tcPr>
          <w:p>
            <w:pPr>
              <w:jc w:val="right"/>
              <w:ind w:right="41"/>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949599"/>
            </w:tcBorders>
          </w:tcPr>
          <w:p>
            <w:pPr>
              <w:jc w:val="right"/>
              <w:ind w:right="21"/>
              <w:spacing w:after="0"/>
              <w:rPr>
                <w:sz w:val="20"/>
                <w:szCs w:val="20"/>
                <w:color w:val="auto"/>
              </w:rPr>
            </w:pPr>
            <w:r>
              <w:rPr>
                <w:rFonts w:ascii="Arial" w:cs="Arial" w:eastAsia="Arial" w:hAnsi="Arial"/>
                <w:sz w:val="16"/>
                <w:szCs w:val="16"/>
                <w:color w:val="auto"/>
              </w:rPr>
              <w:t>1,185</w:t>
            </w:r>
          </w:p>
        </w:tc>
        <w:tc>
          <w:tcPr>
            <w:tcW w:w="90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1,185</w:t>
            </w:r>
          </w:p>
        </w:tc>
      </w:tr>
      <w:tr>
        <w:trPr>
          <w:trHeight w:val="280"/>
        </w:trPr>
        <w:tc>
          <w:tcPr>
            <w:tcW w:w="6300" w:type="dxa"/>
            <w:vAlign w:val="bottom"/>
            <w:tcBorders>
              <w:bottom w:val="single" w:sz="8" w:color="949599"/>
            </w:tcBorders>
          </w:tcPr>
          <w:p>
            <w:pPr>
              <w:ind w:left="80"/>
              <w:spacing w:after="0" w:line="280" w:lineRule="exact"/>
              <w:rPr>
                <w:sz w:val="20"/>
                <w:szCs w:val="20"/>
                <w:color w:val="auto"/>
              </w:rPr>
            </w:pPr>
            <w:r>
              <w:rPr>
                <w:rFonts w:ascii="Arial" w:cs="Arial" w:eastAsia="Arial" w:hAnsi="Arial"/>
                <w:sz w:val="16"/>
                <w:szCs w:val="16"/>
                <w:b w:val="1"/>
                <w:bCs w:val="1"/>
                <w:color w:val="009A4B"/>
              </w:rPr>
              <w:t>Chadwick C. Deaton</w:t>
            </w:r>
            <w:r>
              <w:rPr>
                <w:rFonts w:ascii="Arial" w:cs="Arial" w:eastAsia="Arial" w:hAnsi="Arial"/>
                <w:sz w:val="26"/>
                <w:szCs w:val="26"/>
                <w:b w:val="1"/>
                <w:bCs w:val="1"/>
                <w:color w:val="009A4B"/>
                <w:vertAlign w:val="superscript"/>
              </w:rPr>
              <w:t>(5)</w:t>
            </w:r>
          </w:p>
        </w:tc>
        <w:tc>
          <w:tcPr>
            <w:tcW w:w="3000" w:type="dxa"/>
            <w:vAlign w:val="bottom"/>
            <w:tcBorders>
              <w:bottom w:val="single" w:sz="8" w:color="949599"/>
            </w:tcBorders>
          </w:tcPr>
          <w:p>
            <w:pPr>
              <w:jc w:val="right"/>
              <w:ind w:right="41"/>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949599"/>
            </w:tcBorders>
          </w:tcPr>
          <w:p>
            <w:pPr>
              <w:jc w:val="right"/>
              <w:ind w:right="41"/>
              <w:spacing w:after="0"/>
              <w:rPr>
                <w:sz w:val="20"/>
                <w:szCs w:val="20"/>
                <w:color w:val="auto"/>
              </w:rPr>
            </w:pPr>
            <w:r>
              <w:rPr>
                <w:rFonts w:ascii="Arial" w:cs="Arial" w:eastAsia="Arial" w:hAnsi="Arial"/>
                <w:sz w:val="16"/>
                <w:szCs w:val="16"/>
                <w:color w:val="auto"/>
              </w:rPr>
              <w:t>15,065</w:t>
            </w:r>
          </w:p>
        </w:tc>
        <w:tc>
          <w:tcPr>
            <w:tcW w:w="90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15,065</w:t>
            </w:r>
          </w:p>
        </w:tc>
      </w:tr>
      <w:tr>
        <w:trPr>
          <w:trHeight w:val="226"/>
        </w:trPr>
        <w:tc>
          <w:tcPr>
            <w:tcW w:w="6300" w:type="dxa"/>
            <w:vAlign w:val="bottom"/>
            <w:tcBorders>
              <w:bottom w:val="single" w:sz="8" w:color="949599"/>
            </w:tcBorders>
          </w:tcPr>
          <w:p>
            <w:pPr>
              <w:ind w:left="80"/>
              <w:spacing w:after="0"/>
              <w:rPr>
                <w:sz w:val="20"/>
                <w:szCs w:val="20"/>
                <w:color w:val="auto"/>
              </w:rPr>
            </w:pPr>
            <w:r>
              <w:rPr>
                <w:rFonts w:ascii="Arial" w:cs="Arial" w:eastAsia="Arial" w:hAnsi="Arial"/>
                <w:sz w:val="16"/>
                <w:szCs w:val="16"/>
                <w:b w:val="1"/>
                <w:bCs w:val="1"/>
                <w:color w:val="009A4B"/>
              </w:rPr>
              <w:t>David H.Y. Ho</w:t>
            </w:r>
          </w:p>
        </w:tc>
        <w:tc>
          <w:tcPr>
            <w:tcW w:w="3000" w:type="dxa"/>
            <w:vAlign w:val="bottom"/>
            <w:tcBorders>
              <w:bottom w:val="single" w:sz="8" w:color="949599"/>
            </w:tcBorders>
          </w:tcPr>
          <w:p>
            <w:pPr>
              <w:jc w:val="right"/>
              <w:ind w:right="41"/>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949599"/>
            </w:tcBorders>
          </w:tcPr>
          <w:p>
            <w:pPr>
              <w:jc w:val="right"/>
              <w:ind w:right="41"/>
              <w:spacing w:after="0"/>
              <w:rPr>
                <w:sz w:val="20"/>
                <w:szCs w:val="20"/>
                <w:color w:val="auto"/>
              </w:rPr>
            </w:pPr>
            <w:r>
              <w:rPr>
                <w:rFonts w:ascii="Arial" w:cs="Arial" w:eastAsia="Arial" w:hAnsi="Arial"/>
                <w:sz w:val="16"/>
                <w:szCs w:val="16"/>
                <w:color w:val="auto"/>
              </w:rPr>
              <w:t>16,984</w:t>
            </w:r>
          </w:p>
        </w:tc>
        <w:tc>
          <w:tcPr>
            <w:tcW w:w="90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16,984</w:t>
            </w:r>
          </w:p>
        </w:tc>
      </w:tr>
      <w:tr>
        <w:trPr>
          <w:trHeight w:val="233"/>
        </w:trPr>
        <w:tc>
          <w:tcPr>
            <w:tcW w:w="6300" w:type="dxa"/>
            <w:vAlign w:val="bottom"/>
            <w:tcBorders>
              <w:bottom w:val="single" w:sz="8" w:color="949599"/>
            </w:tcBorders>
          </w:tcPr>
          <w:p>
            <w:pPr>
              <w:ind w:left="80"/>
              <w:spacing w:after="0"/>
              <w:rPr>
                <w:sz w:val="20"/>
                <w:szCs w:val="20"/>
                <w:color w:val="auto"/>
              </w:rPr>
            </w:pPr>
            <w:r>
              <w:rPr>
                <w:rFonts w:ascii="Arial" w:cs="Arial" w:eastAsia="Arial" w:hAnsi="Arial"/>
                <w:sz w:val="16"/>
                <w:szCs w:val="16"/>
                <w:b w:val="1"/>
                <w:bCs w:val="1"/>
                <w:color w:val="009A4B"/>
              </w:rPr>
              <w:t>Edward L. Monser</w:t>
            </w:r>
          </w:p>
        </w:tc>
        <w:tc>
          <w:tcPr>
            <w:tcW w:w="3000" w:type="dxa"/>
            <w:vAlign w:val="bottom"/>
            <w:tcBorders>
              <w:bottom w:val="single" w:sz="8" w:color="949599"/>
            </w:tcBorders>
          </w:tcPr>
          <w:p>
            <w:pPr>
              <w:jc w:val="right"/>
              <w:ind w:right="41"/>
              <w:spacing w:after="0"/>
              <w:rPr>
                <w:sz w:val="20"/>
                <w:szCs w:val="20"/>
                <w:color w:val="auto"/>
              </w:rPr>
            </w:pPr>
            <w:r>
              <w:rPr>
                <w:rFonts w:ascii="Arial" w:cs="Arial" w:eastAsia="Arial" w:hAnsi="Arial"/>
                <w:sz w:val="16"/>
                <w:szCs w:val="16"/>
                <w:color w:val="auto"/>
              </w:rPr>
              <w:t>200</w:t>
            </w:r>
          </w:p>
        </w:tc>
        <w:tc>
          <w:tcPr>
            <w:tcW w:w="1040" w:type="dxa"/>
            <w:vAlign w:val="bottom"/>
            <w:tcBorders>
              <w:bottom w:val="single" w:sz="8" w:color="949599"/>
            </w:tcBorders>
          </w:tcPr>
          <w:p>
            <w:pPr>
              <w:jc w:val="right"/>
              <w:ind w:right="41"/>
              <w:spacing w:after="0"/>
              <w:rPr>
                <w:sz w:val="20"/>
                <w:szCs w:val="20"/>
                <w:color w:val="auto"/>
              </w:rPr>
            </w:pPr>
            <w:r>
              <w:rPr>
                <w:rFonts w:ascii="Arial" w:cs="Arial" w:eastAsia="Arial" w:hAnsi="Arial"/>
                <w:sz w:val="16"/>
                <w:szCs w:val="16"/>
                <w:color w:val="auto"/>
              </w:rPr>
              <w:t>13,290</w:t>
            </w:r>
          </w:p>
        </w:tc>
        <w:tc>
          <w:tcPr>
            <w:tcW w:w="90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13,490</w:t>
            </w:r>
          </w:p>
        </w:tc>
      </w:tr>
      <w:tr>
        <w:trPr>
          <w:trHeight w:val="233"/>
        </w:trPr>
        <w:tc>
          <w:tcPr>
            <w:tcW w:w="6300" w:type="dxa"/>
            <w:vAlign w:val="bottom"/>
            <w:tcBorders>
              <w:bottom w:val="single" w:sz="8" w:color="949599"/>
            </w:tcBorders>
          </w:tcPr>
          <w:p>
            <w:pPr>
              <w:ind w:left="80"/>
              <w:spacing w:after="0"/>
              <w:rPr>
                <w:sz w:val="20"/>
                <w:szCs w:val="20"/>
                <w:color w:val="auto"/>
              </w:rPr>
            </w:pPr>
            <w:r>
              <w:rPr>
                <w:rFonts w:ascii="Arial" w:cs="Arial" w:eastAsia="Arial" w:hAnsi="Arial"/>
                <w:sz w:val="16"/>
                <w:szCs w:val="16"/>
                <w:b w:val="1"/>
                <w:bCs w:val="1"/>
                <w:color w:val="009A4B"/>
              </w:rPr>
              <w:t>Matthew H. Paull</w:t>
            </w:r>
          </w:p>
        </w:tc>
        <w:tc>
          <w:tcPr>
            <w:tcW w:w="3000" w:type="dxa"/>
            <w:vAlign w:val="bottom"/>
            <w:tcBorders>
              <w:bottom w:val="single" w:sz="8" w:color="949599"/>
            </w:tcBorders>
          </w:tcPr>
          <w:p>
            <w:pPr>
              <w:jc w:val="right"/>
              <w:ind w:right="41"/>
              <w:spacing w:after="0"/>
              <w:rPr>
                <w:sz w:val="20"/>
                <w:szCs w:val="20"/>
                <w:color w:val="auto"/>
              </w:rPr>
            </w:pPr>
            <w:r>
              <w:rPr>
                <w:rFonts w:ascii="Arial" w:cs="Arial" w:eastAsia="Arial" w:hAnsi="Arial"/>
                <w:sz w:val="16"/>
                <w:szCs w:val="16"/>
                <w:color w:val="auto"/>
              </w:rPr>
              <w:t>4,055</w:t>
            </w:r>
          </w:p>
        </w:tc>
        <w:tc>
          <w:tcPr>
            <w:tcW w:w="1040" w:type="dxa"/>
            <w:vAlign w:val="bottom"/>
            <w:tcBorders>
              <w:bottom w:val="single" w:sz="8" w:color="949599"/>
            </w:tcBorders>
          </w:tcPr>
          <w:p>
            <w:pPr>
              <w:jc w:val="right"/>
              <w:ind w:right="41"/>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4,055</w:t>
            </w:r>
          </w:p>
        </w:tc>
      </w:tr>
      <w:tr>
        <w:trPr>
          <w:trHeight w:val="233"/>
        </w:trPr>
        <w:tc>
          <w:tcPr>
            <w:tcW w:w="6300" w:type="dxa"/>
            <w:vAlign w:val="bottom"/>
            <w:tcBorders>
              <w:bottom w:val="single" w:sz="8" w:color="949599"/>
            </w:tcBorders>
          </w:tcPr>
          <w:p>
            <w:pPr>
              <w:ind w:left="80"/>
              <w:spacing w:after="0"/>
              <w:rPr>
                <w:sz w:val="20"/>
                <w:szCs w:val="20"/>
                <w:color w:val="auto"/>
              </w:rPr>
            </w:pPr>
            <w:r>
              <w:rPr>
                <w:rFonts w:ascii="Arial" w:cs="Arial" w:eastAsia="Arial" w:hAnsi="Arial"/>
                <w:sz w:val="16"/>
                <w:szCs w:val="16"/>
                <w:b w:val="1"/>
                <w:bCs w:val="1"/>
                <w:color w:val="009A4B"/>
              </w:rPr>
              <w:t>Wayne T. Smith</w:t>
            </w:r>
          </w:p>
        </w:tc>
        <w:tc>
          <w:tcPr>
            <w:tcW w:w="3000" w:type="dxa"/>
            <w:vAlign w:val="bottom"/>
            <w:tcBorders>
              <w:bottom w:val="single" w:sz="8" w:color="949599"/>
            </w:tcBorders>
          </w:tcPr>
          <w:p>
            <w:pPr>
              <w:jc w:val="right"/>
              <w:ind w:right="41"/>
              <w:spacing w:after="0"/>
              <w:rPr>
                <w:sz w:val="20"/>
                <w:szCs w:val="20"/>
                <w:color w:val="auto"/>
              </w:rPr>
            </w:pPr>
            <w:r>
              <w:rPr>
                <w:rFonts w:ascii="Arial" w:cs="Arial" w:eastAsia="Arial" w:hAnsi="Arial"/>
                <w:sz w:val="16"/>
                <w:szCs w:val="16"/>
                <w:color w:val="auto"/>
              </w:rPr>
              <w:t>1,637</w:t>
            </w:r>
          </w:p>
        </w:tc>
        <w:tc>
          <w:tcPr>
            <w:tcW w:w="1040" w:type="dxa"/>
            <w:vAlign w:val="bottom"/>
            <w:tcBorders>
              <w:bottom w:val="single" w:sz="8" w:color="949599"/>
            </w:tcBorders>
          </w:tcPr>
          <w:p>
            <w:pPr>
              <w:jc w:val="right"/>
              <w:ind w:right="41"/>
              <w:spacing w:after="0"/>
              <w:rPr>
                <w:sz w:val="20"/>
                <w:szCs w:val="20"/>
                <w:color w:val="auto"/>
              </w:rPr>
            </w:pPr>
            <w:r>
              <w:rPr>
                <w:rFonts w:ascii="Arial" w:cs="Arial" w:eastAsia="Arial" w:hAnsi="Arial"/>
                <w:sz w:val="16"/>
                <w:szCs w:val="16"/>
                <w:color w:val="auto"/>
              </w:rPr>
              <w:t>302</w:t>
            </w:r>
          </w:p>
        </w:tc>
        <w:tc>
          <w:tcPr>
            <w:tcW w:w="90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1,939</w:t>
            </w:r>
          </w:p>
        </w:tc>
      </w:tr>
      <w:tr>
        <w:trPr>
          <w:trHeight w:val="246"/>
        </w:trPr>
        <w:tc>
          <w:tcPr>
            <w:tcW w:w="63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Directors and executive officers as a group (12 persons)</w:t>
            </w:r>
          </w:p>
        </w:tc>
        <w:tc>
          <w:tcPr>
            <w:tcW w:w="3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616,503</w:t>
            </w: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429,675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1,046,178</w:t>
            </w:r>
          </w:p>
        </w:tc>
      </w:tr>
    </w:tbl>
    <w:p>
      <w:pPr>
        <w:spacing w:after="0" w:line="111" w:lineRule="exact"/>
        <w:rPr>
          <w:sz w:val="20"/>
          <w:szCs w:val="20"/>
          <w:color w:val="auto"/>
        </w:rPr>
      </w:pPr>
    </w:p>
    <w:p>
      <w:pPr>
        <w:ind w:left="300" w:right="800" w:hanging="287"/>
        <w:spacing w:after="0" w:line="181" w:lineRule="auto"/>
        <w:tabs>
          <w:tab w:leader="none" w:pos="300" w:val="left"/>
        </w:tabs>
        <w:numPr>
          <w:ilvl w:val="0"/>
          <w:numId w:val="76"/>
        </w:numPr>
        <w:rPr>
          <w:rFonts w:ascii="Arial" w:cs="Arial" w:eastAsia="Arial" w:hAnsi="Arial"/>
          <w:sz w:val="24"/>
          <w:szCs w:val="24"/>
          <w:color w:val="auto"/>
          <w:vertAlign w:val="superscript"/>
        </w:rPr>
      </w:pPr>
      <w:r>
        <w:rPr>
          <w:rFonts w:ascii="Arial" w:cs="Arial" w:eastAsia="Arial" w:hAnsi="Arial"/>
          <w:sz w:val="14"/>
          <w:szCs w:val="14"/>
          <w:color w:val="auto"/>
        </w:rPr>
        <w:t>This column includes shares held by executive officers in the RSP. Participants have voting rights with respect to such shares and can generally redirect their plan investments.</w:t>
      </w:r>
    </w:p>
    <w:p>
      <w:pPr>
        <w:spacing w:after="0" w:line="96" w:lineRule="exact"/>
        <w:rPr>
          <w:rFonts w:ascii="Arial" w:cs="Arial" w:eastAsia="Arial" w:hAnsi="Arial"/>
          <w:sz w:val="24"/>
          <w:szCs w:val="24"/>
          <w:color w:val="auto"/>
          <w:vertAlign w:val="superscript"/>
        </w:rPr>
      </w:pPr>
    </w:p>
    <w:p>
      <w:pPr>
        <w:ind w:left="300" w:hanging="287"/>
        <w:spacing w:after="0" w:line="218" w:lineRule="auto"/>
        <w:tabs>
          <w:tab w:leader="none" w:pos="300" w:val="left"/>
        </w:tabs>
        <w:numPr>
          <w:ilvl w:val="0"/>
          <w:numId w:val="76"/>
        </w:numPr>
        <w:rPr>
          <w:rFonts w:ascii="Arial" w:cs="Arial" w:eastAsia="Arial" w:hAnsi="Arial"/>
          <w:sz w:val="24"/>
          <w:szCs w:val="24"/>
          <w:color w:val="auto"/>
          <w:vertAlign w:val="superscript"/>
        </w:rPr>
      </w:pPr>
      <w:r>
        <w:rPr>
          <w:rFonts w:ascii="Arial" w:cs="Arial" w:eastAsia="Arial" w:hAnsi="Arial"/>
          <w:sz w:val="14"/>
          <w:szCs w:val="14"/>
          <w:color w:val="auto"/>
        </w:rPr>
        <w:t>The executive officers have the right to acquire this number of shares within 60 days after November 5, 2021 by exercising outstanding options granted under the Company’s Long-Term Incentive Plan or through the vesting of performance shares or RSUs within 60 days after November 5, 2021. In addition to these amounts, our executive officers hold equity awards granted under the Company’s Long-Term Incentive Plan that will not vest within 60 days after November 5, 2021. For additional information regarding such holdings, refer to the Outstanding Equity Awards at 2021 Fiscal Year-End table on page 50. Directors hold deferred stock units shown in the table that are distributable within 60 days upon a director’s retirement or resignation based upon the director’s payout elections under the Deferred Compensation Program for Directors. Deferred stock units held by directors who have elected to defer payout for longer periods are disclosed in footnote 3. Deferred stock units entitle the holder to receive one share of Company stock and accrued dividend equivalents. Deferred stock units do not have voting rights.</w:t>
      </w:r>
    </w:p>
    <w:p>
      <w:pPr>
        <w:spacing w:after="0" w:line="96" w:lineRule="exact"/>
        <w:rPr>
          <w:rFonts w:ascii="Arial" w:cs="Arial" w:eastAsia="Arial" w:hAnsi="Arial"/>
          <w:sz w:val="24"/>
          <w:szCs w:val="24"/>
          <w:color w:val="auto"/>
          <w:vertAlign w:val="superscript"/>
        </w:rPr>
      </w:pPr>
    </w:p>
    <w:p>
      <w:pPr>
        <w:ind w:left="300" w:right="80" w:hanging="287"/>
        <w:spacing w:after="0" w:line="202" w:lineRule="auto"/>
        <w:tabs>
          <w:tab w:leader="none" w:pos="300" w:val="left"/>
        </w:tabs>
        <w:numPr>
          <w:ilvl w:val="0"/>
          <w:numId w:val="76"/>
        </w:numPr>
        <w:rPr>
          <w:rFonts w:ascii="Arial" w:cs="Arial" w:eastAsia="Arial" w:hAnsi="Arial"/>
          <w:sz w:val="24"/>
          <w:szCs w:val="24"/>
          <w:color w:val="auto"/>
          <w:vertAlign w:val="superscript"/>
        </w:rPr>
      </w:pPr>
      <w:r>
        <w:rPr>
          <w:rFonts w:ascii="Arial" w:cs="Arial" w:eastAsia="Arial" w:hAnsi="Arial"/>
          <w:sz w:val="14"/>
          <w:szCs w:val="14"/>
          <w:color w:val="auto"/>
        </w:rPr>
        <w:t>In addition to the amounts reflected in this column, executive officers and directors hold deferred stock units reflected in the table below, which are not distributable within 60 days following completion of Board service and which have been earned out or acquired through deferrals of salary, annual incentive awards or directors’ fees. Directors’ deferred stock units shown below are not included in the table above solely because the directors have elected to defer payout of these units more than 60 days following the date of their completion of Board service.</w:t>
      </w:r>
    </w:p>
    <w:tbl>
      <w:tblPr>
        <w:tblLayout w:type="fixed"/>
        <w:tblInd w:w="340" w:type="dxa"/>
        <w:tblCellMar>
          <w:top w:w="0" w:type="dxa"/>
          <w:left w:w="0" w:type="dxa"/>
          <w:bottom w:w="0" w:type="dxa"/>
          <w:right w:w="0" w:type="dxa"/>
        </w:tblCellMar>
      </w:tblPr>
      <w:tr>
        <w:trPr>
          <w:trHeight w:val="122"/>
        </w:trPr>
        <w:tc>
          <w:tcPr>
            <w:tcW w:w="5880" w:type="dxa"/>
            <w:vAlign w:val="bottom"/>
          </w:tcPr>
          <w:p>
            <w:pPr>
              <w:spacing w:after="0"/>
              <w:rPr>
                <w:sz w:val="10"/>
                <w:szCs w:val="10"/>
                <w:color w:val="auto"/>
              </w:rPr>
            </w:pPr>
          </w:p>
        </w:tc>
        <w:tc>
          <w:tcPr>
            <w:tcW w:w="500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Deferred</w:t>
            </w:r>
          </w:p>
        </w:tc>
      </w:tr>
      <w:tr>
        <w:trPr>
          <w:trHeight w:val="173"/>
        </w:trPr>
        <w:tc>
          <w:tcPr>
            <w:tcW w:w="588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Name of Beneficial Owner</w:t>
            </w:r>
          </w:p>
        </w:tc>
        <w:tc>
          <w:tcPr>
            <w:tcW w:w="5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Stock Units</w:t>
            </w:r>
          </w:p>
        </w:tc>
      </w:tr>
      <w:tr>
        <w:trPr>
          <w:trHeight w:val="207"/>
        </w:trPr>
        <w:tc>
          <w:tcPr>
            <w:tcW w:w="5880" w:type="dxa"/>
            <w:vAlign w:val="bottom"/>
            <w:tcBorders>
              <w:bottom w:val="single" w:sz="8" w:color="949599"/>
            </w:tcBorders>
          </w:tcPr>
          <w:p>
            <w:pPr>
              <w:ind w:left="80"/>
              <w:spacing w:after="0"/>
              <w:rPr>
                <w:sz w:val="20"/>
                <w:szCs w:val="20"/>
                <w:color w:val="auto"/>
              </w:rPr>
            </w:pPr>
            <w:r>
              <w:rPr>
                <w:rFonts w:ascii="Arial" w:cs="Arial" w:eastAsia="Arial" w:hAnsi="Arial"/>
                <w:sz w:val="14"/>
                <w:szCs w:val="14"/>
                <w:b w:val="1"/>
                <w:bCs w:val="1"/>
                <w:color w:val="009A4B"/>
              </w:rPr>
              <w:t>Seifi Ghasemi</w:t>
            </w:r>
          </w:p>
        </w:tc>
        <w:tc>
          <w:tcPr>
            <w:tcW w:w="5000" w:type="dxa"/>
            <w:vAlign w:val="bottom"/>
            <w:tcBorders>
              <w:bottom w:val="single" w:sz="8" w:color="949599"/>
            </w:tcBorders>
          </w:tcPr>
          <w:p>
            <w:pPr>
              <w:jc w:val="right"/>
              <w:spacing w:after="0"/>
              <w:rPr>
                <w:sz w:val="20"/>
                <w:szCs w:val="20"/>
                <w:color w:val="auto"/>
              </w:rPr>
            </w:pPr>
            <w:r>
              <w:rPr>
                <w:rFonts w:ascii="Arial" w:cs="Arial" w:eastAsia="Arial" w:hAnsi="Arial"/>
                <w:sz w:val="14"/>
                <w:szCs w:val="14"/>
                <w:color w:val="auto"/>
              </w:rPr>
              <w:t>3,083</w:t>
            </w:r>
          </w:p>
        </w:tc>
      </w:tr>
      <w:tr>
        <w:trPr>
          <w:trHeight w:val="219"/>
        </w:trPr>
        <w:tc>
          <w:tcPr>
            <w:tcW w:w="58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9A4B"/>
              </w:rPr>
              <w:t>Matthew H. Paull</w:t>
            </w:r>
          </w:p>
        </w:tc>
        <w:tc>
          <w:tcPr>
            <w:tcW w:w="5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8,491</w:t>
            </w:r>
          </w:p>
        </w:tc>
      </w:tr>
    </w:tbl>
    <w:p>
      <w:pPr>
        <w:spacing w:after="0" w:line="6" w:lineRule="exact"/>
        <w:rPr>
          <w:sz w:val="20"/>
          <w:szCs w:val="20"/>
          <w:color w:val="auto"/>
        </w:rPr>
      </w:pPr>
    </w:p>
    <w:p>
      <w:pPr>
        <w:ind w:left="300" w:hanging="294"/>
        <w:spacing w:after="0"/>
        <w:tabs>
          <w:tab w:leader="none" w:pos="300" w:val="left"/>
        </w:tabs>
        <w:numPr>
          <w:ilvl w:val="0"/>
          <w:numId w:val="77"/>
        </w:numPr>
        <w:rPr>
          <w:rFonts w:ascii="Arial" w:cs="Arial" w:eastAsia="Arial" w:hAnsi="Arial"/>
          <w:sz w:val="24"/>
          <w:szCs w:val="24"/>
          <w:color w:val="auto"/>
          <w:vertAlign w:val="superscript"/>
        </w:rPr>
      </w:pPr>
      <w:r>
        <w:rPr>
          <w:rFonts w:ascii="Arial" w:cs="Arial" w:eastAsia="Arial" w:hAnsi="Arial"/>
          <w:sz w:val="14"/>
          <w:szCs w:val="14"/>
          <w:color w:val="auto"/>
        </w:rPr>
        <w:t>Directors, nominees and executive officers individually and as a group beneficially own less than 1% of the Company’s outstanding common stock.</w:t>
      </w:r>
    </w:p>
    <w:p>
      <w:pPr>
        <w:spacing w:after="0" w:line="95" w:lineRule="exact"/>
        <w:rPr>
          <w:rFonts w:ascii="Arial" w:cs="Arial" w:eastAsia="Arial" w:hAnsi="Arial"/>
          <w:sz w:val="24"/>
          <w:szCs w:val="24"/>
          <w:color w:val="auto"/>
          <w:vertAlign w:val="superscript"/>
        </w:rPr>
      </w:pPr>
    </w:p>
    <w:p>
      <w:pPr>
        <w:ind w:left="300" w:hanging="294"/>
        <w:spacing w:after="0" w:line="187" w:lineRule="auto"/>
        <w:tabs>
          <w:tab w:leader="none" w:pos="300" w:val="left"/>
        </w:tabs>
        <w:numPr>
          <w:ilvl w:val="0"/>
          <w:numId w:val="77"/>
        </w:numPr>
        <w:rPr>
          <w:rFonts w:ascii="Arial" w:cs="Arial" w:eastAsia="Arial" w:hAnsi="Arial"/>
          <w:sz w:val="19"/>
          <w:szCs w:val="19"/>
          <w:color w:val="auto"/>
          <w:vertAlign w:val="superscript"/>
        </w:rPr>
      </w:pPr>
      <w:r>
        <w:rPr>
          <w:rFonts w:ascii="Arial" w:cs="Arial" w:eastAsia="Arial" w:hAnsi="Arial"/>
          <w:sz w:val="12"/>
          <w:szCs w:val="12"/>
          <w:color w:val="auto"/>
        </w:rPr>
        <w:t>Mr. Deaton will retire from the Board effective at the conclusion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83185</wp:posOffset>
            </wp:positionV>
            <wp:extent cx="845185" cy="202565"/>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845185" cy="20256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7155180" cy="20955"/>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35"/>
          <w:szCs w:val="35"/>
          <w:color w:val="009A4B"/>
        </w:rPr>
        <w:t>Section 16(a) Beneficial Ownership Reporting</w:t>
      </w:r>
    </w:p>
    <w:p>
      <w:pPr>
        <w:spacing w:after="0" w:line="227"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Section 16(a) of the Securities Exchange Act of 1934 requires our directors and executive officers to file reports of holdings and transactions in Company stock and related securities with the SEC and NYSE. Based on our records and other information, we believe that in fiscal 2021 all of our directors and executive officers met all applicable Section 16(a) filing requirements.</w:t>
      </w:r>
    </w:p>
    <w:p>
      <w:pPr>
        <w:spacing w:after="0" w:line="198" w:lineRule="exact"/>
        <w:rPr>
          <w:sz w:val="20"/>
          <w:szCs w:val="20"/>
          <w:color w:val="auto"/>
        </w:rPr>
      </w:pPr>
    </w:p>
    <w:p>
      <w:pPr>
        <w:spacing w:after="0"/>
        <w:rPr>
          <w:sz w:val="20"/>
          <w:szCs w:val="20"/>
          <w:color w:val="auto"/>
        </w:rPr>
      </w:pPr>
      <w:r>
        <w:rPr>
          <w:rFonts w:ascii="Arial" w:cs="Arial" w:eastAsia="Arial" w:hAnsi="Arial"/>
          <w:sz w:val="35"/>
          <w:szCs w:val="35"/>
          <w:color w:val="009A4B"/>
        </w:rPr>
        <w:t>Equity Compensation Plan Information</w:t>
      </w:r>
    </w:p>
    <w:p>
      <w:pPr>
        <w:spacing w:after="0" w:line="227"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The following table provides information as of September 30, 2021 about Company stock that may be issued upon the exercise of options, warrants and rights granted to employees or members of the Board under the Company’s existing equity compensation plans, including plans approved by shareholders and plans that have not been approved by shareholders in reliance on the NYSE’s former treasury stock exception or other applicable exception to the NYSE’s listing requirements.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9A4B"/>
        </w:rPr>
        <w:t>EQUITY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-57150</wp:posOffset>
            </wp:positionV>
            <wp:extent cx="5350510" cy="8255"/>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535051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80" w:type="dxa"/>
            <w:vAlign w:val="bottom"/>
          </w:tcPr>
          <w:p>
            <w:pPr>
              <w:jc w:val="right"/>
              <w:ind w:right="86"/>
              <w:spacing w:after="0"/>
              <w:rPr>
                <w:sz w:val="20"/>
                <w:szCs w:val="20"/>
                <w:color w:val="auto"/>
              </w:rPr>
            </w:pPr>
            <w:r>
              <w:rPr>
                <w:rFonts w:ascii="Arial" w:cs="Arial" w:eastAsia="Arial" w:hAnsi="Arial"/>
                <w:sz w:val="14"/>
                <w:szCs w:val="14"/>
                <w:b w:val="1"/>
                <w:bCs w:val="1"/>
                <w:color w:val="auto"/>
              </w:rPr>
              <w:t>Weighted-average</w:t>
            </w:r>
          </w:p>
        </w:tc>
        <w:tc>
          <w:tcPr>
            <w:tcW w:w="2320" w:type="dxa"/>
            <w:vAlign w:val="bottom"/>
          </w:tcPr>
          <w:p>
            <w:pPr>
              <w:jc w:val="right"/>
              <w:spacing w:after="0"/>
              <w:rPr>
                <w:sz w:val="20"/>
                <w:szCs w:val="20"/>
                <w:color w:val="auto"/>
              </w:rPr>
            </w:pPr>
            <w:r>
              <w:rPr>
                <w:rFonts w:ascii="Arial" w:cs="Arial" w:eastAsia="Arial" w:hAnsi="Arial"/>
                <w:sz w:val="14"/>
                <w:szCs w:val="14"/>
                <w:b w:val="1"/>
                <w:bCs w:val="1"/>
                <w:color w:val="auto"/>
              </w:rPr>
              <w:t>Number of securities remaining</w:t>
            </w:r>
          </w:p>
        </w:tc>
      </w:tr>
      <w:tr>
        <w:trPr>
          <w:trHeight w:val="160"/>
        </w:trPr>
        <w:tc>
          <w:tcPr>
            <w:tcW w:w="4420" w:type="dxa"/>
            <w:vAlign w:val="bottom"/>
          </w:tcPr>
          <w:p>
            <w:pPr>
              <w:spacing w:after="0"/>
              <w:rPr>
                <w:sz w:val="13"/>
                <w:szCs w:val="13"/>
                <w:color w:val="auto"/>
              </w:rPr>
            </w:pPr>
          </w:p>
        </w:tc>
        <w:tc>
          <w:tcPr>
            <w:tcW w:w="3020" w:type="dxa"/>
            <w:vAlign w:val="bottom"/>
          </w:tcPr>
          <w:p>
            <w:pPr>
              <w:jc w:val="right"/>
              <w:ind w:right="47"/>
              <w:spacing w:after="0" w:line="160" w:lineRule="exact"/>
              <w:rPr>
                <w:sz w:val="20"/>
                <w:szCs w:val="20"/>
                <w:color w:val="auto"/>
              </w:rPr>
            </w:pPr>
            <w:r>
              <w:rPr>
                <w:rFonts w:ascii="Arial" w:cs="Arial" w:eastAsia="Arial" w:hAnsi="Arial"/>
                <w:sz w:val="14"/>
                <w:szCs w:val="14"/>
                <w:b w:val="1"/>
                <w:bCs w:val="1"/>
                <w:color w:val="auto"/>
              </w:rPr>
              <w:t>Number of securities to</w:t>
            </w:r>
          </w:p>
        </w:tc>
        <w:tc>
          <w:tcPr>
            <w:tcW w:w="1480" w:type="dxa"/>
            <w:vAlign w:val="bottom"/>
          </w:tcPr>
          <w:p>
            <w:pPr>
              <w:jc w:val="right"/>
              <w:ind w:right="86"/>
              <w:spacing w:after="0" w:line="160" w:lineRule="exact"/>
              <w:rPr>
                <w:sz w:val="20"/>
                <w:szCs w:val="20"/>
                <w:color w:val="auto"/>
              </w:rPr>
            </w:pPr>
            <w:r>
              <w:rPr>
                <w:rFonts w:ascii="Arial" w:cs="Arial" w:eastAsia="Arial" w:hAnsi="Arial"/>
                <w:sz w:val="14"/>
                <w:szCs w:val="14"/>
                <w:b w:val="1"/>
                <w:bCs w:val="1"/>
                <w:color w:val="auto"/>
              </w:rPr>
              <w:t>exercise price</w:t>
            </w:r>
          </w:p>
        </w:tc>
        <w:tc>
          <w:tcPr>
            <w:tcW w:w="232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available for future issuance</w:t>
            </w:r>
          </w:p>
        </w:tc>
      </w:tr>
      <w:tr>
        <w:trPr>
          <w:trHeight w:val="160"/>
        </w:trPr>
        <w:tc>
          <w:tcPr>
            <w:tcW w:w="4420" w:type="dxa"/>
            <w:vAlign w:val="bottom"/>
          </w:tcPr>
          <w:p>
            <w:pPr>
              <w:spacing w:after="0"/>
              <w:rPr>
                <w:sz w:val="13"/>
                <w:szCs w:val="13"/>
                <w:color w:val="auto"/>
              </w:rPr>
            </w:pPr>
          </w:p>
        </w:tc>
        <w:tc>
          <w:tcPr>
            <w:tcW w:w="3020" w:type="dxa"/>
            <w:vAlign w:val="bottom"/>
          </w:tcPr>
          <w:p>
            <w:pPr>
              <w:jc w:val="right"/>
              <w:ind w:right="47"/>
              <w:spacing w:after="0" w:line="160" w:lineRule="exact"/>
              <w:rPr>
                <w:sz w:val="20"/>
                <w:szCs w:val="20"/>
                <w:color w:val="auto"/>
              </w:rPr>
            </w:pPr>
            <w:r>
              <w:rPr>
                <w:rFonts w:ascii="Arial" w:cs="Arial" w:eastAsia="Arial" w:hAnsi="Arial"/>
                <w:sz w:val="14"/>
                <w:szCs w:val="14"/>
                <w:b w:val="1"/>
                <w:bCs w:val="1"/>
                <w:color w:val="auto"/>
              </w:rPr>
              <w:t>be issued upon exercise</w:t>
            </w:r>
          </w:p>
        </w:tc>
        <w:tc>
          <w:tcPr>
            <w:tcW w:w="1480" w:type="dxa"/>
            <w:vAlign w:val="bottom"/>
          </w:tcPr>
          <w:p>
            <w:pPr>
              <w:jc w:val="right"/>
              <w:ind w:right="86"/>
              <w:spacing w:after="0" w:line="160" w:lineRule="exact"/>
              <w:rPr>
                <w:sz w:val="20"/>
                <w:szCs w:val="20"/>
                <w:color w:val="auto"/>
              </w:rPr>
            </w:pPr>
            <w:r>
              <w:rPr>
                <w:rFonts w:ascii="Arial" w:cs="Arial" w:eastAsia="Arial" w:hAnsi="Arial"/>
                <w:sz w:val="14"/>
                <w:szCs w:val="14"/>
                <w:b w:val="1"/>
                <w:bCs w:val="1"/>
                <w:color w:val="auto"/>
              </w:rPr>
              <w:t>of outstanding</w:t>
            </w:r>
          </w:p>
        </w:tc>
        <w:tc>
          <w:tcPr>
            <w:tcW w:w="232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under equity compensation</w:t>
            </w:r>
          </w:p>
        </w:tc>
      </w:tr>
      <w:tr>
        <w:trPr>
          <w:trHeight w:val="160"/>
        </w:trPr>
        <w:tc>
          <w:tcPr>
            <w:tcW w:w="4420" w:type="dxa"/>
            <w:vAlign w:val="bottom"/>
          </w:tcPr>
          <w:p>
            <w:pPr>
              <w:spacing w:after="0"/>
              <w:rPr>
                <w:sz w:val="13"/>
                <w:szCs w:val="13"/>
                <w:color w:val="auto"/>
              </w:rPr>
            </w:pPr>
          </w:p>
        </w:tc>
        <w:tc>
          <w:tcPr>
            <w:tcW w:w="3020" w:type="dxa"/>
            <w:vAlign w:val="bottom"/>
          </w:tcPr>
          <w:p>
            <w:pPr>
              <w:jc w:val="right"/>
              <w:ind w:right="47"/>
              <w:spacing w:after="0" w:line="160" w:lineRule="exact"/>
              <w:rPr>
                <w:sz w:val="20"/>
                <w:szCs w:val="20"/>
                <w:color w:val="auto"/>
              </w:rPr>
            </w:pPr>
            <w:r>
              <w:rPr>
                <w:rFonts w:ascii="Arial" w:cs="Arial" w:eastAsia="Arial" w:hAnsi="Arial"/>
                <w:sz w:val="14"/>
                <w:szCs w:val="14"/>
                <w:b w:val="1"/>
                <w:bCs w:val="1"/>
                <w:color w:val="auto"/>
              </w:rPr>
              <w:t>of outstanding options,</w:t>
            </w:r>
          </w:p>
        </w:tc>
        <w:tc>
          <w:tcPr>
            <w:tcW w:w="1480" w:type="dxa"/>
            <w:vAlign w:val="bottom"/>
          </w:tcPr>
          <w:p>
            <w:pPr>
              <w:jc w:val="right"/>
              <w:ind w:right="86"/>
              <w:spacing w:after="0" w:line="160" w:lineRule="exact"/>
              <w:rPr>
                <w:sz w:val="20"/>
                <w:szCs w:val="20"/>
                <w:color w:val="auto"/>
              </w:rPr>
            </w:pPr>
            <w:r>
              <w:rPr>
                <w:rFonts w:ascii="Arial" w:cs="Arial" w:eastAsia="Arial" w:hAnsi="Arial"/>
                <w:sz w:val="14"/>
                <w:szCs w:val="14"/>
                <w:b w:val="1"/>
                <w:bCs w:val="1"/>
                <w:color w:val="auto"/>
              </w:rPr>
              <w:t>options, warrants</w:t>
            </w:r>
          </w:p>
        </w:tc>
        <w:tc>
          <w:tcPr>
            <w:tcW w:w="232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plans (excluding securities</w:t>
            </w:r>
          </w:p>
        </w:tc>
      </w:tr>
      <w:tr>
        <w:trPr>
          <w:trHeight w:val="193"/>
        </w:trPr>
        <w:tc>
          <w:tcPr>
            <w:tcW w:w="44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Plan Category</w:t>
            </w:r>
          </w:p>
        </w:tc>
        <w:tc>
          <w:tcPr>
            <w:tcW w:w="30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rPr>
              <w:t>warrants and rights (a)</w:t>
            </w:r>
          </w:p>
        </w:tc>
        <w:tc>
          <w:tcPr>
            <w:tcW w:w="148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b w:val="1"/>
                <w:bCs w:val="1"/>
                <w:color w:val="auto"/>
              </w:rPr>
              <w:t>and rights</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reflected in column (a))</w:t>
            </w:r>
          </w:p>
        </w:tc>
      </w:tr>
      <w:tr>
        <w:trPr>
          <w:trHeight w:val="215"/>
        </w:trPr>
        <w:tc>
          <w:tcPr>
            <w:tcW w:w="4420" w:type="dxa"/>
            <w:vAlign w:val="bottom"/>
          </w:tcPr>
          <w:p>
            <w:pPr>
              <w:ind w:left="80"/>
              <w:spacing w:after="0"/>
              <w:rPr>
                <w:sz w:val="20"/>
                <w:szCs w:val="20"/>
                <w:color w:val="auto"/>
              </w:rPr>
            </w:pPr>
            <w:r>
              <w:rPr>
                <w:rFonts w:ascii="Arial" w:cs="Arial" w:eastAsia="Arial" w:hAnsi="Arial"/>
                <w:sz w:val="16"/>
                <w:szCs w:val="16"/>
                <w:color w:val="auto"/>
              </w:rPr>
              <w:t>Equity compensation plans approved by</w:t>
            </w:r>
          </w:p>
        </w:tc>
        <w:tc>
          <w:tcPr>
            <w:tcW w:w="3020" w:type="dxa"/>
            <w:vAlign w:val="bottom"/>
          </w:tcPr>
          <w:p>
            <w:pPr>
              <w:jc w:val="right"/>
              <w:ind w:right="67"/>
              <w:spacing w:after="0" w:line="214" w:lineRule="exact"/>
              <w:rPr>
                <w:sz w:val="20"/>
                <w:szCs w:val="20"/>
                <w:color w:val="auto"/>
              </w:rPr>
            </w:pPr>
            <w:r>
              <w:rPr>
                <w:rFonts w:ascii="Arial" w:cs="Arial" w:eastAsia="Arial" w:hAnsi="Arial"/>
                <w:sz w:val="15"/>
                <w:szCs w:val="15"/>
                <w:color w:val="auto"/>
              </w:rPr>
              <w:t>1,847,379</w:t>
            </w:r>
            <w:r>
              <w:rPr>
                <w:rFonts w:ascii="Arial" w:cs="Arial" w:eastAsia="Arial" w:hAnsi="Arial"/>
                <w:sz w:val="24"/>
                <w:szCs w:val="24"/>
                <w:color w:val="auto"/>
                <w:vertAlign w:val="superscript"/>
              </w:rPr>
              <w:t>(1)</w:t>
            </w:r>
          </w:p>
        </w:tc>
        <w:tc>
          <w:tcPr>
            <w:tcW w:w="1480" w:type="dxa"/>
            <w:vAlign w:val="bottom"/>
          </w:tcPr>
          <w:p>
            <w:pPr>
              <w:jc w:val="right"/>
              <w:ind w:right="86"/>
              <w:spacing w:after="0"/>
              <w:rPr>
                <w:sz w:val="20"/>
                <w:szCs w:val="20"/>
                <w:color w:val="auto"/>
              </w:rPr>
            </w:pPr>
            <w:r>
              <w:rPr>
                <w:rFonts w:ascii="Arial" w:cs="Arial" w:eastAsia="Arial" w:hAnsi="Arial"/>
                <w:sz w:val="16"/>
                <w:szCs w:val="16"/>
                <w:color w:val="auto"/>
              </w:rPr>
              <w:t>$99.79</w:t>
            </w:r>
          </w:p>
        </w:tc>
        <w:tc>
          <w:tcPr>
            <w:tcW w:w="2320" w:type="dxa"/>
            <w:vAlign w:val="bottom"/>
          </w:tcPr>
          <w:p>
            <w:pPr>
              <w:jc w:val="right"/>
              <w:ind w:right="6"/>
              <w:spacing w:after="0" w:line="214" w:lineRule="exact"/>
              <w:rPr>
                <w:sz w:val="20"/>
                <w:szCs w:val="20"/>
                <w:color w:val="auto"/>
              </w:rPr>
            </w:pPr>
            <w:r>
              <w:rPr>
                <w:rFonts w:ascii="Arial" w:cs="Arial" w:eastAsia="Arial" w:hAnsi="Arial"/>
                <w:sz w:val="15"/>
                <w:szCs w:val="15"/>
                <w:color w:val="auto"/>
              </w:rPr>
              <w:t>1,566,433</w:t>
            </w:r>
            <w:r>
              <w:rPr>
                <w:rFonts w:ascii="Arial" w:cs="Arial" w:eastAsia="Arial" w:hAnsi="Arial"/>
                <w:sz w:val="24"/>
                <w:szCs w:val="24"/>
                <w:color w:val="auto"/>
                <w:vertAlign w:val="superscript"/>
              </w:rPr>
              <w:t>(2)</w:t>
            </w:r>
          </w:p>
        </w:tc>
      </w:tr>
      <w:tr>
        <w:trPr>
          <w:trHeight w:val="204"/>
        </w:trPr>
        <w:tc>
          <w:tcPr>
            <w:tcW w:w="4420" w:type="dxa"/>
            <w:vAlign w:val="bottom"/>
            <w:tcBorders>
              <w:bottom w:val="single" w:sz="8" w:color="949599"/>
            </w:tcBorders>
          </w:tcPr>
          <w:p>
            <w:pPr>
              <w:ind w:left="80"/>
              <w:spacing w:after="0"/>
              <w:rPr>
                <w:sz w:val="20"/>
                <w:szCs w:val="20"/>
                <w:color w:val="auto"/>
              </w:rPr>
            </w:pPr>
            <w:r>
              <w:rPr>
                <w:rFonts w:ascii="Arial" w:cs="Arial" w:eastAsia="Arial" w:hAnsi="Arial"/>
                <w:sz w:val="16"/>
                <w:szCs w:val="16"/>
                <w:color w:val="auto"/>
              </w:rPr>
              <w:t>security holders</w:t>
            </w:r>
          </w:p>
        </w:tc>
        <w:tc>
          <w:tcPr>
            <w:tcW w:w="3020" w:type="dxa"/>
            <w:vAlign w:val="bottom"/>
            <w:tcBorders>
              <w:bottom w:val="single" w:sz="8" w:color="949599"/>
            </w:tcBorders>
          </w:tcPr>
          <w:p>
            <w:pPr>
              <w:spacing w:after="0"/>
              <w:rPr>
                <w:sz w:val="17"/>
                <w:szCs w:val="17"/>
                <w:color w:val="auto"/>
              </w:rPr>
            </w:pPr>
          </w:p>
        </w:tc>
        <w:tc>
          <w:tcPr>
            <w:tcW w:w="1480" w:type="dxa"/>
            <w:vAlign w:val="bottom"/>
            <w:tcBorders>
              <w:bottom w:val="single" w:sz="8" w:color="949599"/>
            </w:tcBorders>
          </w:tcPr>
          <w:p>
            <w:pPr>
              <w:spacing w:after="0"/>
              <w:rPr>
                <w:sz w:val="17"/>
                <w:szCs w:val="17"/>
                <w:color w:val="auto"/>
              </w:rPr>
            </w:pPr>
          </w:p>
        </w:tc>
        <w:tc>
          <w:tcPr>
            <w:tcW w:w="2320" w:type="dxa"/>
            <w:vAlign w:val="bottom"/>
            <w:tcBorders>
              <w:bottom w:val="single" w:sz="8" w:color="949599"/>
            </w:tcBorders>
          </w:tcPr>
          <w:p>
            <w:pPr>
              <w:spacing w:after="0"/>
              <w:rPr>
                <w:sz w:val="17"/>
                <w:szCs w:val="17"/>
                <w:color w:val="auto"/>
              </w:rPr>
            </w:pPr>
          </w:p>
        </w:tc>
      </w:tr>
      <w:tr>
        <w:trPr>
          <w:trHeight w:val="215"/>
        </w:trPr>
        <w:tc>
          <w:tcPr>
            <w:tcW w:w="4420" w:type="dxa"/>
            <w:vAlign w:val="bottom"/>
          </w:tcPr>
          <w:p>
            <w:pPr>
              <w:ind w:left="80"/>
              <w:spacing w:after="0"/>
              <w:rPr>
                <w:sz w:val="20"/>
                <w:szCs w:val="20"/>
                <w:color w:val="auto"/>
              </w:rPr>
            </w:pPr>
            <w:r>
              <w:rPr>
                <w:rFonts w:ascii="Arial" w:cs="Arial" w:eastAsia="Arial" w:hAnsi="Arial"/>
                <w:sz w:val="16"/>
                <w:szCs w:val="16"/>
                <w:color w:val="auto"/>
              </w:rPr>
              <w:t>Equity compensation plans not approved by</w:t>
            </w:r>
          </w:p>
        </w:tc>
        <w:tc>
          <w:tcPr>
            <w:tcW w:w="3020" w:type="dxa"/>
            <w:vAlign w:val="bottom"/>
          </w:tcPr>
          <w:p>
            <w:pPr>
              <w:jc w:val="right"/>
              <w:ind w:right="67"/>
              <w:spacing w:after="0" w:line="214" w:lineRule="exact"/>
              <w:rPr>
                <w:sz w:val="20"/>
                <w:szCs w:val="20"/>
                <w:color w:val="auto"/>
              </w:rPr>
            </w:pPr>
            <w:r>
              <w:rPr>
                <w:rFonts w:ascii="Arial" w:cs="Arial" w:eastAsia="Arial" w:hAnsi="Arial"/>
                <w:sz w:val="15"/>
                <w:szCs w:val="15"/>
                <w:color w:val="auto"/>
              </w:rPr>
              <w:t>38,616</w:t>
            </w:r>
            <w:r>
              <w:rPr>
                <w:rFonts w:ascii="Arial" w:cs="Arial" w:eastAsia="Arial" w:hAnsi="Arial"/>
                <w:sz w:val="24"/>
                <w:szCs w:val="24"/>
                <w:color w:val="auto"/>
                <w:vertAlign w:val="superscript"/>
              </w:rPr>
              <w:t>(3)</w:t>
            </w:r>
          </w:p>
        </w:tc>
        <w:tc>
          <w:tcPr>
            <w:tcW w:w="1480" w:type="dxa"/>
            <w:vAlign w:val="bottom"/>
          </w:tcPr>
          <w:p>
            <w:pPr>
              <w:jc w:val="right"/>
              <w:ind w:right="86"/>
              <w:spacing w:after="0"/>
              <w:rPr>
                <w:sz w:val="20"/>
                <w:szCs w:val="20"/>
                <w:color w:val="auto"/>
              </w:rPr>
            </w:pPr>
            <w:r>
              <w:rPr>
                <w:rFonts w:ascii="Arial" w:cs="Arial" w:eastAsia="Arial" w:hAnsi="Arial"/>
                <w:sz w:val="16"/>
                <w:szCs w:val="16"/>
                <w:color w:val="auto"/>
              </w:rPr>
              <w:t>—</w:t>
            </w:r>
          </w:p>
        </w:tc>
        <w:tc>
          <w:tcPr>
            <w:tcW w:w="2320" w:type="dxa"/>
            <w:vAlign w:val="bottom"/>
          </w:tcPr>
          <w:p>
            <w:pPr>
              <w:jc w:val="right"/>
              <w:ind w:right="166"/>
              <w:spacing w:after="0"/>
              <w:rPr>
                <w:sz w:val="20"/>
                <w:szCs w:val="20"/>
                <w:color w:val="auto"/>
              </w:rPr>
            </w:pPr>
            <w:r>
              <w:rPr>
                <w:rFonts w:ascii="Arial" w:cs="Arial" w:eastAsia="Arial" w:hAnsi="Arial"/>
                <w:sz w:val="16"/>
                <w:szCs w:val="16"/>
                <w:color w:val="auto"/>
              </w:rPr>
              <w:t>—</w:t>
            </w:r>
          </w:p>
        </w:tc>
      </w:tr>
      <w:tr>
        <w:trPr>
          <w:trHeight w:val="204"/>
        </w:trPr>
        <w:tc>
          <w:tcPr>
            <w:tcW w:w="4420" w:type="dxa"/>
            <w:vAlign w:val="bottom"/>
            <w:tcBorders>
              <w:bottom w:val="single" w:sz="8" w:color="949599"/>
            </w:tcBorders>
          </w:tcPr>
          <w:p>
            <w:pPr>
              <w:ind w:left="80"/>
              <w:spacing w:after="0"/>
              <w:rPr>
                <w:sz w:val="20"/>
                <w:szCs w:val="20"/>
                <w:color w:val="auto"/>
              </w:rPr>
            </w:pPr>
            <w:r>
              <w:rPr>
                <w:rFonts w:ascii="Arial" w:cs="Arial" w:eastAsia="Arial" w:hAnsi="Arial"/>
                <w:sz w:val="16"/>
                <w:szCs w:val="16"/>
                <w:color w:val="auto"/>
              </w:rPr>
              <w:t>security holders</w:t>
            </w:r>
          </w:p>
        </w:tc>
        <w:tc>
          <w:tcPr>
            <w:tcW w:w="3020" w:type="dxa"/>
            <w:vAlign w:val="bottom"/>
            <w:tcBorders>
              <w:bottom w:val="single" w:sz="8" w:color="949599"/>
            </w:tcBorders>
          </w:tcPr>
          <w:p>
            <w:pPr>
              <w:spacing w:after="0"/>
              <w:rPr>
                <w:sz w:val="17"/>
                <w:szCs w:val="17"/>
                <w:color w:val="auto"/>
              </w:rPr>
            </w:pPr>
          </w:p>
        </w:tc>
        <w:tc>
          <w:tcPr>
            <w:tcW w:w="1480" w:type="dxa"/>
            <w:vAlign w:val="bottom"/>
            <w:tcBorders>
              <w:bottom w:val="single" w:sz="8" w:color="949599"/>
            </w:tcBorders>
          </w:tcPr>
          <w:p>
            <w:pPr>
              <w:spacing w:after="0"/>
              <w:rPr>
                <w:sz w:val="17"/>
                <w:szCs w:val="17"/>
                <w:color w:val="auto"/>
              </w:rPr>
            </w:pPr>
          </w:p>
        </w:tc>
        <w:tc>
          <w:tcPr>
            <w:tcW w:w="2320" w:type="dxa"/>
            <w:vAlign w:val="bottom"/>
            <w:tcBorders>
              <w:bottom w:val="single" w:sz="8" w:color="949599"/>
            </w:tcBorders>
          </w:tcPr>
          <w:p>
            <w:pPr>
              <w:spacing w:after="0"/>
              <w:rPr>
                <w:sz w:val="17"/>
                <w:szCs w:val="17"/>
                <w:color w:val="auto"/>
              </w:rPr>
            </w:pPr>
          </w:p>
        </w:tc>
      </w:tr>
      <w:tr>
        <w:trPr>
          <w:trHeight w:val="246"/>
        </w:trPr>
        <w:tc>
          <w:tcPr>
            <w:tcW w:w="44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Total</w:t>
            </w:r>
          </w:p>
        </w:tc>
        <w:tc>
          <w:tcPr>
            <w:tcW w:w="3020" w:type="dxa"/>
            <w:vAlign w:val="bottom"/>
            <w:tcBorders>
              <w:bottom w:val="single" w:sz="8" w:color="auto"/>
            </w:tcBorders>
          </w:tcPr>
          <w:p>
            <w:pPr>
              <w:jc w:val="right"/>
              <w:ind w:right="227"/>
              <w:spacing w:after="0"/>
              <w:rPr>
                <w:sz w:val="20"/>
                <w:szCs w:val="20"/>
                <w:color w:val="auto"/>
              </w:rPr>
            </w:pPr>
            <w:r>
              <w:rPr>
                <w:rFonts w:ascii="Arial" w:cs="Arial" w:eastAsia="Arial" w:hAnsi="Arial"/>
                <w:sz w:val="16"/>
                <w:szCs w:val="16"/>
                <w:color w:val="auto"/>
              </w:rPr>
              <w:t>1,885,995</w:t>
            </w:r>
          </w:p>
        </w:tc>
        <w:tc>
          <w:tcPr>
            <w:tcW w:w="1480" w:type="dxa"/>
            <w:vAlign w:val="bottom"/>
            <w:tcBorders>
              <w:bottom w:val="single" w:sz="8" w:color="auto"/>
            </w:tcBorders>
          </w:tcPr>
          <w:p>
            <w:pPr>
              <w:jc w:val="right"/>
              <w:ind w:right="86"/>
              <w:spacing w:after="0"/>
              <w:rPr>
                <w:sz w:val="20"/>
                <w:szCs w:val="20"/>
                <w:color w:val="auto"/>
              </w:rPr>
            </w:pPr>
            <w:r>
              <w:rPr>
                <w:rFonts w:ascii="Arial" w:cs="Arial" w:eastAsia="Arial" w:hAnsi="Arial"/>
                <w:sz w:val="16"/>
                <w:szCs w:val="16"/>
                <w:color w:val="auto"/>
              </w:rPr>
              <w:t>$99.79</w:t>
            </w:r>
          </w:p>
        </w:tc>
        <w:tc>
          <w:tcPr>
            <w:tcW w:w="2320" w:type="dxa"/>
            <w:vAlign w:val="bottom"/>
            <w:tcBorders>
              <w:bottom w:val="single" w:sz="8" w:color="auto"/>
            </w:tcBorders>
          </w:tcPr>
          <w:p>
            <w:pPr>
              <w:jc w:val="right"/>
              <w:ind w:right="166"/>
              <w:spacing w:after="0"/>
              <w:rPr>
                <w:sz w:val="20"/>
                <w:szCs w:val="20"/>
                <w:color w:val="auto"/>
              </w:rPr>
            </w:pPr>
            <w:r>
              <w:rPr>
                <w:rFonts w:ascii="Arial" w:cs="Arial" w:eastAsia="Arial" w:hAnsi="Arial"/>
                <w:sz w:val="16"/>
                <w:szCs w:val="16"/>
                <w:color w:val="auto"/>
              </w:rPr>
              <w:t>1,566,433</w:t>
            </w:r>
          </w:p>
        </w:tc>
      </w:tr>
    </w:tbl>
    <w:p>
      <w:pPr>
        <w:spacing w:after="0" w:line="111" w:lineRule="exact"/>
        <w:rPr>
          <w:sz w:val="20"/>
          <w:szCs w:val="20"/>
          <w:color w:val="auto"/>
        </w:rPr>
      </w:pPr>
    </w:p>
    <w:p>
      <w:pPr>
        <w:ind w:left="300" w:right="200" w:hanging="294"/>
        <w:spacing w:after="0" w:line="196" w:lineRule="auto"/>
        <w:tabs>
          <w:tab w:leader="none" w:pos="300" w:val="left"/>
        </w:tabs>
        <w:numPr>
          <w:ilvl w:val="0"/>
          <w:numId w:val="78"/>
        </w:numPr>
        <w:rPr>
          <w:rFonts w:ascii="Arial" w:cs="Arial" w:eastAsia="Arial" w:hAnsi="Arial"/>
          <w:sz w:val="24"/>
          <w:szCs w:val="24"/>
          <w:color w:val="auto"/>
          <w:vertAlign w:val="superscript"/>
        </w:rPr>
      </w:pPr>
      <w:r>
        <w:rPr>
          <w:rFonts w:ascii="Arial" w:cs="Arial" w:eastAsia="Arial" w:hAnsi="Arial"/>
          <w:sz w:val="14"/>
          <w:szCs w:val="14"/>
          <w:color w:val="auto"/>
        </w:rPr>
        <w:t>Represents Long-Term Incentive Plan outstanding stock options and deferred stock units (including RSUs and performance shares) that have been granted. Deferred stock units entitle the recipient to one share of Company common stock upon vesting, which is conditioned on continued employment during a deferral period and may also be conditioned on earn-out against certain performance targets. The amount presented assumes the maximum potential payout.</w:t>
      </w:r>
    </w:p>
    <w:p>
      <w:pPr>
        <w:spacing w:after="0" w:line="97" w:lineRule="exact"/>
        <w:rPr>
          <w:rFonts w:ascii="Arial" w:cs="Arial" w:eastAsia="Arial" w:hAnsi="Arial"/>
          <w:sz w:val="24"/>
          <w:szCs w:val="24"/>
          <w:color w:val="auto"/>
          <w:vertAlign w:val="superscript"/>
        </w:rPr>
      </w:pPr>
    </w:p>
    <w:p>
      <w:pPr>
        <w:ind w:left="300" w:right="240" w:hanging="294"/>
        <w:spacing w:after="0" w:line="181" w:lineRule="auto"/>
        <w:tabs>
          <w:tab w:leader="none" w:pos="300" w:val="left"/>
        </w:tabs>
        <w:numPr>
          <w:ilvl w:val="0"/>
          <w:numId w:val="78"/>
        </w:numPr>
        <w:rPr>
          <w:rFonts w:ascii="Arial" w:cs="Arial" w:eastAsia="Arial" w:hAnsi="Arial"/>
          <w:sz w:val="24"/>
          <w:szCs w:val="24"/>
          <w:color w:val="auto"/>
          <w:vertAlign w:val="superscript"/>
        </w:rPr>
      </w:pPr>
      <w:r>
        <w:rPr>
          <w:rFonts w:ascii="Arial" w:cs="Arial" w:eastAsia="Arial" w:hAnsi="Arial"/>
          <w:sz w:val="14"/>
          <w:szCs w:val="14"/>
          <w:color w:val="auto"/>
        </w:rPr>
        <w:t>Represents authorized shares that were available for future grants as of September 30, 2021. These shares may be used for options, deferred stock units (including RSUs and performance shares), restricted stock and other stock-based awards to officers, directors and key employees.</w:t>
      </w:r>
    </w:p>
    <w:p>
      <w:pPr>
        <w:spacing w:after="0" w:line="96" w:lineRule="exact"/>
        <w:rPr>
          <w:rFonts w:ascii="Arial" w:cs="Arial" w:eastAsia="Arial" w:hAnsi="Arial"/>
          <w:sz w:val="24"/>
          <w:szCs w:val="24"/>
          <w:color w:val="auto"/>
          <w:vertAlign w:val="superscript"/>
        </w:rPr>
      </w:pPr>
    </w:p>
    <w:p>
      <w:pPr>
        <w:ind w:left="300" w:right="400" w:hanging="294"/>
        <w:spacing w:after="0" w:line="181" w:lineRule="auto"/>
        <w:tabs>
          <w:tab w:leader="none" w:pos="300" w:val="left"/>
        </w:tabs>
        <w:numPr>
          <w:ilvl w:val="0"/>
          <w:numId w:val="78"/>
        </w:numPr>
        <w:rPr>
          <w:rFonts w:ascii="Arial" w:cs="Arial" w:eastAsia="Arial" w:hAnsi="Arial"/>
          <w:sz w:val="24"/>
          <w:szCs w:val="24"/>
          <w:color w:val="auto"/>
          <w:vertAlign w:val="superscript"/>
        </w:rPr>
      </w:pPr>
      <w:r>
        <w:rPr>
          <w:rFonts w:ascii="Arial" w:cs="Arial" w:eastAsia="Arial" w:hAnsi="Arial"/>
          <w:sz w:val="14"/>
          <w:szCs w:val="14"/>
          <w:color w:val="auto"/>
        </w:rPr>
        <w:t>This number represents deferred stock units issued under the Deferred Compensation Plan, which are purchased for the fair value of the underlying shares of stock with eligible deferred compensation.</w:t>
      </w:r>
    </w:p>
    <w:p>
      <w:pPr>
        <w:spacing w:after="0" w:line="11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7155180" cy="20955"/>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134225" cy="149606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7134225" cy="1496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0"/>
        <w:spacing w:after="0"/>
        <w:rPr>
          <w:sz w:val="20"/>
          <w:szCs w:val="20"/>
          <w:color w:val="auto"/>
        </w:rPr>
      </w:pPr>
      <w:r>
        <w:rPr>
          <w:rFonts w:ascii="Arial" w:cs="Arial" w:eastAsia="Arial" w:hAnsi="Arial"/>
          <w:sz w:val="44"/>
          <w:szCs w:val="44"/>
          <w:b w:val="1"/>
          <w:bCs w:val="1"/>
          <w:color w:val="009A4B"/>
        </w:rPr>
        <w:t>Additional Information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35"/>
          <w:szCs w:val="35"/>
          <w:color w:val="009844"/>
        </w:rPr>
        <w:t>Questions and Answers on Voting and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262255" cy="262255"/>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262255" cy="262255"/>
                    </a:xfrm>
                    <a:prstGeom prst="rect">
                      <a:avLst/>
                    </a:prstGeom>
                    <a:noFill/>
                  </pic:spPr>
                </pic:pic>
              </a:graphicData>
            </a:graphic>
          </wp:anchor>
        </w:drawing>
      </w:r>
    </w:p>
    <w:p>
      <w:pPr>
        <w:spacing w:after="0" w:line="260" w:lineRule="exact"/>
        <w:rPr>
          <w:sz w:val="20"/>
          <w:szCs w:val="20"/>
          <w:color w:val="auto"/>
        </w:rPr>
      </w:pPr>
    </w:p>
    <w:p>
      <w:pPr>
        <w:ind w:left="800"/>
        <w:spacing w:after="0"/>
        <w:rPr>
          <w:sz w:val="20"/>
          <w:szCs w:val="20"/>
          <w:color w:val="auto"/>
        </w:rPr>
      </w:pPr>
      <w:r>
        <w:rPr>
          <w:rFonts w:ascii="Arial" w:cs="Arial" w:eastAsia="Arial" w:hAnsi="Arial"/>
          <w:sz w:val="25"/>
          <w:szCs w:val="25"/>
          <w:color w:val="009844"/>
        </w:rPr>
        <w:t>How many shares can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163195</wp:posOffset>
            </wp:positionV>
            <wp:extent cx="236855" cy="253365"/>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236855" cy="253365"/>
                    </a:xfrm>
                    <a:prstGeom prst="rect">
                      <a:avLst/>
                    </a:prstGeom>
                    <a:noFill/>
                  </pic:spPr>
                </pic:pic>
              </a:graphicData>
            </a:graphic>
          </wp:anchor>
        </w:drawing>
      </w:r>
    </w:p>
    <w:p>
      <w:pPr>
        <w:spacing w:after="0" w:line="319" w:lineRule="exact"/>
        <w:rPr>
          <w:sz w:val="20"/>
          <w:szCs w:val="20"/>
          <w:color w:val="auto"/>
        </w:rPr>
      </w:pPr>
    </w:p>
    <w:p>
      <w:pPr>
        <w:ind w:left="800" w:right="60"/>
        <w:spacing w:after="0" w:line="248" w:lineRule="auto"/>
        <w:rPr>
          <w:sz w:val="20"/>
          <w:szCs w:val="20"/>
          <w:color w:val="auto"/>
        </w:rPr>
      </w:pPr>
      <w:r>
        <w:rPr>
          <w:rFonts w:ascii="Arial" w:cs="Arial" w:eastAsia="Arial" w:hAnsi="Arial"/>
          <w:sz w:val="16"/>
          <w:szCs w:val="16"/>
          <w:color w:val="auto"/>
        </w:rPr>
        <w:t>As of the record date, which was December 7, 2021, there were 221,684,352 shares of Company common stock issued and outstanding. Shares outstanding on the record date are the only shares entitled to vote at the Annual Meeting. Every owner of Company stock is entitled to one vote for each share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262255" cy="262255"/>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262255" cy="262255"/>
                    </a:xfrm>
                    <a:prstGeom prst="rect">
                      <a:avLst/>
                    </a:prstGeom>
                    <a:noFill/>
                  </pic:spPr>
                </pic:pic>
              </a:graphicData>
            </a:graphic>
          </wp:anchor>
        </w:drawing>
      </w:r>
    </w:p>
    <w:p>
      <w:pPr>
        <w:spacing w:after="0" w:line="208" w:lineRule="exact"/>
        <w:rPr>
          <w:sz w:val="20"/>
          <w:szCs w:val="20"/>
          <w:color w:val="auto"/>
        </w:rPr>
      </w:pPr>
    </w:p>
    <w:p>
      <w:pPr>
        <w:ind w:left="800"/>
        <w:spacing w:after="0"/>
        <w:rPr>
          <w:sz w:val="20"/>
          <w:szCs w:val="20"/>
          <w:color w:val="auto"/>
        </w:rPr>
      </w:pPr>
      <w:r>
        <w:rPr>
          <w:rFonts w:ascii="Arial" w:cs="Arial" w:eastAsia="Arial" w:hAnsi="Arial"/>
          <w:sz w:val="25"/>
          <w:szCs w:val="25"/>
          <w:color w:val="009844"/>
        </w:rPr>
        <w:t>Who counts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163195</wp:posOffset>
            </wp:positionV>
            <wp:extent cx="262255" cy="262255"/>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262255" cy="262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 representative of Broadridge Corporate Issuer Solutions, Inc. will tabulate the votes and act as the independent inspector of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262255" cy="262255"/>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262255" cy="262255"/>
                    </a:xfrm>
                    <a:prstGeom prst="rect">
                      <a:avLst/>
                    </a:prstGeom>
                    <a:noFill/>
                  </pic:spPr>
                </pic:pic>
              </a:graphicData>
            </a:graphic>
          </wp:anchor>
        </w:drawing>
      </w:r>
    </w:p>
    <w:p>
      <w:pPr>
        <w:spacing w:after="0" w:line="222" w:lineRule="exact"/>
        <w:rPr>
          <w:sz w:val="20"/>
          <w:szCs w:val="20"/>
          <w:color w:val="auto"/>
        </w:rPr>
      </w:pPr>
    </w:p>
    <w:p>
      <w:pPr>
        <w:ind w:left="800"/>
        <w:spacing w:after="0"/>
        <w:rPr>
          <w:sz w:val="20"/>
          <w:szCs w:val="20"/>
          <w:color w:val="auto"/>
        </w:rPr>
      </w:pPr>
      <w:r>
        <w:rPr>
          <w:rFonts w:ascii="Arial" w:cs="Arial" w:eastAsia="Arial" w:hAnsi="Arial"/>
          <w:sz w:val="25"/>
          <w:szCs w:val="25"/>
          <w:color w:val="009844"/>
        </w:rPr>
        <w:t>What is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163195</wp:posOffset>
            </wp:positionV>
            <wp:extent cx="262255" cy="262255"/>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262255" cy="262255"/>
                    </a:xfrm>
                    <a:prstGeom prst="rect">
                      <a:avLst/>
                    </a:prstGeom>
                    <a:noFill/>
                  </pic:spPr>
                </pic:pic>
              </a:graphicData>
            </a:graphic>
          </wp:anchor>
        </w:drawing>
      </w:r>
    </w:p>
    <w:p>
      <w:pPr>
        <w:spacing w:after="0" w:line="319" w:lineRule="exact"/>
        <w:rPr>
          <w:sz w:val="20"/>
          <w:szCs w:val="20"/>
          <w:color w:val="auto"/>
        </w:rPr>
      </w:pPr>
    </w:p>
    <w:p>
      <w:pPr>
        <w:ind w:left="800" w:right="40"/>
        <w:spacing w:after="0" w:line="246" w:lineRule="auto"/>
        <w:rPr>
          <w:sz w:val="20"/>
          <w:szCs w:val="20"/>
          <w:color w:val="auto"/>
        </w:rPr>
      </w:pPr>
      <w:r>
        <w:rPr>
          <w:rFonts w:ascii="Arial" w:cs="Arial" w:eastAsia="Arial" w:hAnsi="Arial"/>
          <w:sz w:val="16"/>
          <w:szCs w:val="16"/>
          <w:color w:val="auto"/>
        </w:rPr>
        <w:t xml:space="preserve">A proxy is your legal appointment of another person to vote the shares of Company stock that you own in accordance with your instructions. The person you appoint to vote your shares also is called a proxy. You can find an electronic proxy card at </w:t>
      </w:r>
      <w:r>
        <w:rPr>
          <w:rFonts w:ascii="Arial" w:cs="Arial" w:eastAsia="Arial" w:hAnsi="Arial"/>
          <w:sz w:val="16"/>
          <w:szCs w:val="16"/>
          <w:i w:val="1"/>
          <w:iCs w:val="1"/>
          <w:color w:val="009844"/>
        </w:rPr>
        <w:t>www.proxyvote.com</w:t>
      </w:r>
      <w:r>
        <w:rPr>
          <w:rFonts w:ascii="Arial" w:cs="Arial" w:eastAsia="Arial" w:hAnsi="Arial"/>
          <w:sz w:val="16"/>
          <w:szCs w:val="16"/>
          <w:color w:val="auto"/>
        </w:rPr>
        <w:t xml:space="preserve"> that you can use to vote your shares online or you can scan the QR code provided with your proxy materials. If you received these proxy materials by mail, you can also vote by mail or telephone using the proxy card enclosed with these materials.</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On the proxy card, you will find the names of the persons designated by the Company to act as proxies to vote your shares at the Annual Meeting.</w:t>
      </w:r>
    </w:p>
    <w:p>
      <w:pPr>
        <w:spacing w:after="0" w:line="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proxies are required to vote your shares in the manner you instruct.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262255" cy="262255"/>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262255" cy="262255"/>
                    </a:xfrm>
                    <a:prstGeom prst="rect">
                      <a:avLst/>
                    </a:prstGeom>
                    <a:noFill/>
                  </pic:spPr>
                </pic:pic>
              </a:graphicData>
            </a:graphic>
          </wp:anchor>
        </w:drawing>
      </w:r>
    </w:p>
    <w:p>
      <w:pPr>
        <w:spacing w:after="0" w:line="222" w:lineRule="exact"/>
        <w:rPr>
          <w:sz w:val="20"/>
          <w:szCs w:val="20"/>
          <w:color w:val="auto"/>
        </w:rPr>
      </w:pPr>
    </w:p>
    <w:p>
      <w:pPr>
        <w:ind w:left="800"/>
        <w:spacing w:after="0"/>
        <w:rPr>
          <w:sz w:val="20"/>
          <w:szCs w:val="20"/>
          <w:color w:val="auto"/>
        </w:rPr>
      </w:pPr>
      <w:r>
        <w:rPr>
          <w:rFonts w:ascii="Arial" w:cs="Arial" w:eastAsia="Arial" w:hAnsi="Arial"/>
          <w:sz w:val="25"/>
          <w:szCs w:val="25"/>
          <w:color w:val="009844"/>
        </w:rPr>
        <w:t>What shares are included on my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163195</wp:posOffset>
            </wp:positionV>
            <wp:extent cx="262255" cy="262255"/>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262255" cy="262255"/>
                    </a:xfrm>
                    <a:prstGeom prst="rect">
                      <a:avLst/>
                    </a:prstGeom>
                    <a:noFill/>
                  </pic:spPr>
                </pic:pic>
              </a:graphicData>
            </a:graphic>
          </wp:anchor>
        </w:drawing>
      </w:r>
    </w:p>
    <w:p>
      <w:pPr>
        <w:spacing w:after="0" w:line="319" w:lineRule="exact"/>
        <w:rPr>
          <w:sz w:val="20"/>
          <w:szCs w:val="20"/>
          <w:color w:val="auto"/>
        </w:rPr>
      </w:pPr>
    </w:p>
    <w:p>
      <w:pPr>
        <w:ind w:left="800" w:right="20"/>
        <w:spacing w:after="0" w:line="246" w:lineRule="auto"/>
        <w:rPr>
          <w:sz w:val="20"/>
          <w:szCs w:val="20"/>
          <w:color w:val="auto"/>
        </w:rPr>
      </w:pPr>
      <w:r>
        <w:rPr>
          <w:rFonts w:ascii="Arial" w:cs="Arial" w:eastAsia="Arial" w:hAnsi="Arial"/>
          <w:sz w:val="16"/>
          <w:szCs w:val="16"/>
          <w:color w:val="auto"/>
        </w:rPr>
        <w:t>If you are a registered shareholder, your proxy card will show the shares of Company stock registered in your name with our transfer agent, Broadridge Corporate Issuer Solutions, Inc., on the record date, including shares in the Direct Share Purchase and Sale Program administered for Air Products’ shareholders by our transfer agent. If you have shares registered in the name of a bank, broker or other registered owner or nominee, they will not appear on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111760</wp:posOffset>
            </wp:positionV>
            <wp:extent cx="262255" cy="262255"/>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262255" cy="262255"/>
                    </a:xfrm>
                    <a:prstGeom prst="rect">
                      <a:avLst/>
                    </a:prstGeom>
                    <a:noFill/>
                  </pic:spPr>
                </pic:pic>
              </a:graphicData>
            </a:graphic>
          </wp:anchor>
        </w:drawing>
      </w:r>
    </w:p>
    <w:p>
      <w:pPr>
        <w:spacing w:after="0" w:line="210" w:lineRule="exact"/>
        <w:rPr>
          <w:sz w:val="20"/>
          <w:szCs w:val="20"/>
          <w:color w:val="auto"/>
        </w:rPr>
      </w:pPr>
    </w:p>
    <w:p>
      <w:pPr>
        <w:ind w:left="800"/>
        <w:spacing w:after="0"/>
        <w:rPr>
          <w:sz w:val="20"/>
          <w:szCs w:val="20"/>
          <w:color w:val="auto"/>
        </w:rPr>
      </w:pPr>
      <w:r>
        <w:rPr>
          <w:rFonts w:ascii="Arial" w:cs="Arial" w:eastAsia="Arial" w:hAnsi="Arial"/>
          <w:sz w:val="25"/>
          <w:szCs w:val="25"/>
          <w:color w:val="009844"/>
        </w:rPr>
        <w:t>How do I vote the shares on my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163195</wp:posOffset>
            </wp:positionV>
            <wp:extent cx="262255" cy="262255"/>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262255" cy="262255"/>
                    </a:xfrm>
                    <a:prstGeom prst="rect">
                      <a:avLst/>
                    </a:prstGeom>
                    <a:noFill/>
                  </pic:spPr>
                </pic:pic>
              </a:graphicData>
            </a:graphic>
          </wp:anchor>
        </w:drawing>
      </w:r>
    </w:p>
    <w:p>
      <w:pPr>
        <w:spacing w:after="0" w:line="319" w:lineRule="exact"/>
        <w:rPr>
          <w:sz w:val="20"/>
          <w:szCs w:val="20"/>
          <w:color w:val="auto"/>
        </w:rPr>
      </w:pPr>
    </w:p>
    <w:p>
      <w:pPr>
        <w:ind w:left="800" w:right="100"/>
        <w:spacing w:after="0" w:line="254" w:lineRule="auto"/>
        <w:rPr>
          <w:sz w:val="20"/>
          <w:szCs w:val="20"/>
          <w:color w:val="auto"/>
        </w:rPr>
      </w:pPr>
      <w:r>
        <w:rPr>
          <w:rFonts w:ascii="Arial" w:cs="Arial" w:eastAsia="Arial" w:hAnsi="Arial"/>
          <w:sz w:val="16"/>
          <w:szCs w:val="16"/>
          <w:color w:val="auto"/>
        </w:rPr>
        <w:t>If you received a Notice of Availability of Proxy Materials and accessed these proxy materials online, follow the instructions on the Notice to obtain your records and vote electronically.</w:t>
      </w:r>
    </w:p>
    <w:p>
      <w:pPr>
        <w:spacing w:after="0" w:line="170" w:lineRule="exact"/>
        <w:rPr>
          <w:sz w:val="20"/>
          <w:szCs w:val="20"/>
          <w:color w:val="auto"/>
        </w:rPr>
      </w:pPr>
    </w:p>
    <w:p>
      <w:pPr>
        <w:ind w:left="800"/>
        <w:spacing w:after="0" w:line="246" w:lineRule="auto"/>
        <w:rPr>
          <w:sz w:val="20"/>
          <w:szCs w:val="20"/>
          <w:color w:val="auto"/>
        </w:rPr>
      </w:pPr>
      <w:r>
        <w:rPr>
          <w:rFonts w:ascii="Arial" w:cs="Arial" w:eastAsia="Arial" w:hAnsi="Arial"/>
          <w:sz w:val="16"/>
          <w:szCs w:val="16"/>
          <w:color w:val="auto"/>
        </w:rPr>
        <w:t>If you received these proxy materials by mail, you may vote by signing and dating your proxy card and returning it in the prepaid envelope. You also can vote via mobile device, online or by using a toll-free telephone number. Instructions about these ways to vote appear on the proxy card. If you vote by telephone, please have your paper proxy card and control number available. The sequence of numbers appearing on your card is your control number, and your control number is necessary to verify your vote.</w:t>
      </w:r>
    </w:p>
    <w:p>
      <w:pPr>
        <w:spacing w:after="0" w:line="177" w:lineRule="exact"/>
        <w:rPr>
          <w:sz w:val="20"/>
          <w:szCs w:val="20"/>
          <w:color w:val="auto"/>
        </w:rPr>
      </w:pPr>
    </w:p>
    <w:p>
      <w:pPr>
        <w:ind w:left="800" w:right="280"/>
        <w:spacing w:after="0" w:line="254" w:lineRule="auto"/>
        <w:rPr>
          <w:sz w:val="20"/>
          <w:szCs w:val="20"/>
          <w:color w:val="auto"/>
        </w:rPr>
      </w:pPr>
      <w:r>
        <w:rPr>
          <w:rFonts w:ascii="Arial" w:cs="Arial" w:eastAsia="Arial" w:hAnsi="Arial"/>
          <w:sz w:val="16"/>
          <w:szCs w:val="16"/>
          <w:color w:val="auto"/>
        </w:rPr>
        <w:t>If you received these proxy materials via e-mail, the e-mail message transmitting the link to these materials contains instructions on how to vote your shares of Company stock and your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199390</wp:posOffset>
            </wp:positionV>
            <wp:extent cx="845185" cy="202565"/>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845185" cy="202565"/>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7155180" cy="20955"/>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ind w:left="800" w:right="400"/>
        <w:spacing w:after="0" w:line="254" w:lineRule="auto"/>
        <w:rPr>
          <w:sz w:val="20"/>
          <w:szCs w:val="20"/>
          <w:color w:val="auto"/>
        </w:rPr>
      </w:pPr>
      <w:r>
        <w:rPr>
          <w:rFonts w:ascii="Arial" w:cs="Arial" w:eastAsia="Arial" w:hAnsi="Arial"/>
          <w:sz w:val="16"/>
          <w:szCs w:val="16"/>
          <w:color w:val="auto"/>
        </w:rPr>
        <w:t>Whether your proxy is submitted by mail, telephone, mobile device or online, your shares will be voted in the manner you instruct. If you do not specify in your proxy how you want your shares voted, they will be voted according to the Board’s recommendations below:</w:t>
      </w:r>
    </w:p>
    <w:p>
      <w:pPr>
        <w:spacing w:after="0" w:line="118" w:lineRule="exact"/>
        <w:rPr>
          <w:sz w:val="20"/>
          <w:szCs w:val="20"/>
          <w:color w:val="auto"/>
        </w:rPr>
      </w:pPr>
    </w:p>
    <w:tbl>
      <w:tblPr>
        <w:tblLayout w:type="fixed"/>
        <w:tblInd w:w="800" w:type="dxa"/>
        <w:tblCellMar>
          <w:top w:w="0" w:type="dxa"/>
          <w:left w:w="0" w:type="dxa"/>
          <w:bottom w:w="0" w:type="dxa"/>
          <w:right w:w="0" w:type="dxa"/>
        </w:tblCellMar>
      </w:tblPr>
      <w:tr>
        <w:trPr>
          <w:trHeight w:val="256"/>
        </w:trPr>
        <w:tc>
          <w:tcPr>
            <w:tcW w:w="4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7"/>
              </w:rPr>
              <w:t>Item</w:t>
            </w:r>
          </w:p>
        </w:tc>
        <w:tc>
          <w:tcPr>
            <w:tcW w:w="786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7"/>
              </w:rPr>
              <w:t>Board Recommendation</w:t>
            </w:r>
          </w:p>
        </w:tc>
        <w:tc>
          <w:tcPr>
            <w:tcW w:w="0" w:type="dxa"/>
            <w:vAlign w:val="bottom"/>
          </w:tcPr>
          <w:p>
            <w:pPr>
              <w:spacing w:after="0"/>
              <w:rPr>
                <w:sz w:val="1"/>
                <w:szCs w:val="1"/>
                <w:color w:val="auto"/>
              </w:rPr>
            </w:pPr>
          </w:p>
        </w:tc>
      </w:tr>
      <w:tr>
        <w:trPr>
          <w:trHeight w:val="326"/>
        </w:trPr>
        <w:tc>
          <w:tcPr>
            <w:tcW w:w="460" w:type="dxa"/>
            <w:vAlign w:val="bottom"/>
            <w:tcBorders>
              <w:bottom w:val="single" w:sz="8" w:color="E7E7E8"/>
            </w:tcBorders>
          </w:tcPr>
          <w:p>
            <w:pPr>
              <w:ind w:left="80"/>
              <w:spacing w:after="0"/>
              <w:rPr>
                <w:sz w:val="20"/>
                <w:szCs w:val="20"/>
                <w:color w:val="auto"/>
              </w:rPr>
            </w:pPr>
            <w:r>
              <w:rPr>
                <w:rFonts w:ascii="Arial" w:cs="Arial" w:eastAsia="Arial" w:hAnsi="Arial"/>
                <w:sz w:val="18"/>
                <w:szCs w:val="18"/>
                <w:color w:val="auto"/>
              </w:rPr>
              <w:t>1.</w:t>
            </w:r>
          </w:p>
        </w:tc>
        <w:tc>
          <w:tcPr>
            <w:tcW w:w="7860" w:type="dxa"/>
            <w:vAlign w:val="bottom"/>
            <w:tcBorders>
              <w:bottom w:val="single" w:sz="8" w:color="E7E7E8"/>
            </w:tcBorders>
          </w:tcPr>
          <w:p>
            <w:pPr>
              <w:ind w:left="40"/>
              <w:spacing w:after="0"/>
              <w:rPr>
                <w:sz w:val="20"/>
                <w:szCs w:val="20"/>
                <w:color w:val="auto"/>
              </w:rPr>
            </w:pPr>
            <w:r>
              <w:rPr>
                <w:rFonts w:ascii="Arial" w:cs="Arial" w:eastAsia="Arial" w:hAnsi="Arial"/>
                <w:sz w:val="18"/>
                <w:szCs w:val="18"/>
                <w:color w:val="auto"/>
              </w:rPr>
              <w:t>Election of the Board’s Seven Nominees as Directors</w:t>
            </w:r>
          </w:p>
        </w:tc>
        <w:tc>
          <w:tcPr>
            <w:tcW w:w="2120" w:type="dxa"/>
            <w:vAlign w:val="bottom"/>
            <w:tcBorders>
              <w:bottom w:val="single" w:sz="8" w:color="E7E7E8"/>
            </w:tcBorders>
          </w:tcPr>
          <w:p>
            <w:pPr>
              <w:ind w:left="400"/>
              <w:spacing w:after="0"/>
              <w:rPr>
                <w:sz w:val="20"/>
                <w:szCs w:val="20"/>
                <w:color w:val="auto"/>
              </w:rPr>
            </w:pPr>
            <w:r>
              <w:rPr>
                <w:rFonts w:ascii="Arial" w:cs="Arial" w:eastAsia="Arial" w:hAnsi="Arial"/>
                <w:sz w:val="18"/>
                <w:szCs w:val="18"/>
                <w:b w:val="1"/>
                <w:bCs w:val="1"/>
                <w:color w:val="00A4E4"/>
              </w:rPr>
              <w:t>FOR</w:t>
            </w:r>
          </w:p>
        </w:tc>
        <w:tc>
          <w:tcPr>
            <w:tcW w:w="0" w:type="dxa"/>
            <w:vAlign w:val="bottom"/>
          </w:tcPr>
          <w:p>
            <w:pPr>
              <w:spacing w:after="0"/>
              <w:rPr>
                <w:sz w:val="1"/>
                <w:szCs w:val="1"/>
                <w:color w:val="auto"/>
              </w:rPr>
            </w:pPr>
          </w:p>
        </w:tc>
      </w:tr>
      <w:tr>
        <w:trPr>
          <w:trHeight w:val="326"/>
        </w:trPr>
        <w:tc>
          <w:tcPr>
            <w:tcW w:w="460" w:type="dxa"/>
            <w:vAlign w:val="bottom"/>
            <w:tcBorders>
              <w:bottom w:val="single" w:sz="8" w:color="E7E7E8"/>
            </w:tcBorders>
          </w:tcPr>
          <w:p>
            <w:pPr>
              <w:ind w:left="80"/>
              <w:spacing w:after="0"/>
              <w:rPr>
                <w:sz w:val="20"/>
                <w:szCs w:val="20"/>
                <w:color w:val="auto"/>
              </w:rPr>
            </w:pPr>
            <w:r>
              <w:rPr>
                <w:rFonts w:ascii="Arial" w:cs="Arial" w:eastAsia="Arial" w:hAnsi="Arial"/>
                <w:sz w:val="18"/>
                <w:szCs w:val="18"/>
                <w:color w:val="auto"/>
              </w:rPr>
              <w:t>2.</w:t>
            </w:r>
          </w:p>
        </w:tc>
        <w:tc>
          <w:tcPr>
            <w:tcW w:w="7860" w:type="dxa"/>
            <w:vAlign w:val="bottom"/>
            <w:tcBorders>
              <w:bottom w:val="single" w:sz="8" w:color="E7E7E8"/>
            </w:tcBorders>
          </w:tcPr>
          <w:p>
            <w:pPr>
              <w:ind w:left="40"/>
              <w:spacing w:after="0"/>
              <w:rPr>
                <w:sz w:val="20"/>
                <w:szCs w:val="20"/>
                <w:color w:val="auto"/>
              </w:rPr>
            </w:pPr>
            <w:r>
              <w:rPr>
                <w:rFonts w:ascii="Arial" w:cs="Arial" w:eastAsia="Arial" w:hAnsi="Arial"/>
                <w:sz w:val="18"/>
                <w:szCs w:val="18"/>
                <w:color w:val="auto"/>
              </w:rPr>
              <w:t>Advisory Vote on Executive Officer Compensation</w:t>
            </w:r>
          </w:p>
        </w:tc>
        <w:tc>
          <w:tcPr>
            <w:tcW w:w="2120" w:type="dxa"/>
            <w:vAlign w:val="bottom"/>
            <w:tcBorders>
              <w:bottom w:val="single" w:sz="8" w:color="E7E7E8"/>
            </w:tcBorders>
          </w:tcPr>
          <w:p>
            <w:pPr>
              <w:ind w:left="400"/>
              <w:spacing w:after="0"/>
              <w:rPr>
                <w:sz w:val="20"/>
                <w:szCs w:val="20"/>
                <w:color w:val="auto"/>
              </w:rPr>
            </w:pPr>
            <w:r>
              <w:rPr>
                <w:rFonts w:ascii="Arial" w:cs="Arial" w:eastAsia="Arial" w:hAnsi="Arial"/>
                <w:sz w:val="18"/>
                <w:szCs w:val="18"/>
                <w:b w:val="1"/>
                <w:bCs w:val="1"/>
                <w:color w:val="00A4E4"/>
              </w:rPr>
              <w:t>FOR</w:t>
            </w:r>
          </w:p>
        </w:tc>
        <w:tc>
          <w:tcPr>
            <w:tcW w:w="0" w:type="dxa"/>
            <w:vAlign w:val="bottom"/>
          </w:tcPr>
          <w:p>
            <w:pPr>
              <w:spacing w:after="0"/>
              <w:rPr>
                <w:sz w:val="1"/>
                <w:szCs w:val="1"/>
                <w:color w:val="auto"/>
              </w:rPr>
            </w:pPr>
          </w:p>
        </w:tc>
      </w:tr>
      <w:tr>
        <w:trPr>
          <w:trHeight w:val="225"/>
        </w:trPr>
        <w:tc>
          <w:tcPr>
            <w:tcW w:w="460" w:type="dxa"/>
            <w:vAlign w:val="bottom"/>
          </w:tcPr>
          <w:p>
            <w:pPr>
              <w:ind w:left="80"/>
              <w:spacing w:after="0"/>
              <w:rPr>
                <w:sz w:val="20"/>
                <w:szCs w:val="20"/>
                <w:color w:val="auto"/>
              </w:rPr>
            </w:pPr>
            <w:r>
              <w:rPr>
                <w:rFonts w:ascii="Arial" w:cs="Arial" w:eastAsia="Arial" w:hAnsi="Arial"/>
                <w:sz w:val="18"/>
                <w:szCs w:val="18"/>
                <w:color w:val="auto"/>
              </w:rPr>
              <w:t>3.</w:t>
            </w:r>
          </w:p>
        </w:tc>
        <w:tc>
          <w:tcPr>
            <w:tcW w:w="7860" w:type="dxa"/>
            <w:vAlign w:val="bottom"/>
          </w:tcPr>
          <w:p>
            <w:pPr>
              <w:ind w:left="40"/>
              <w:spacing w:after="0"/>
              <w:rPr>
                <w:sz w:val="20"/>
                <w:szCs w:val="20"/>
                <w:color w:val="auto"/>
              </w:rPr>
            </w:pPr>
            <w:r>
              <w:rPr>
                <w:rFonts w:ascii="Arial" w:cs="Arial" w:eastAsia="Arial" w:hAnsi="Arial"/>
                <w:sz w:val="18"/>
                <w:szCs w:val="18"/>
                <w:color w:val="auto"/>
                <w:w w:val="98"/>
              </w:rPr>
              <w:t>Ratification of Deloitte &amp; Touche LLP as the Company’s Independent Registered Public Accounting</w:t>
            </w:r>
          </w:p>
        </w:tc>
        <w:tc>
          <w:tcPr>
            <w:tcW w:w="2120" w:type="dxa"/>
            <w:vAlign w:val="bottom"/>
            <w:vMerge w:val="restart"/>
          </w:tcPr>
          <w:p>
            <w:pPr>
              <w:ind w:left="400"/>
              <w:spacing w:after="0"/>
              <w:rPr>
                <w:sz w:val="20"/>
                <w:szCs w:val="20"/>
                <w:color w:val="auto"/>
              </w:rPr>
            </w:pPr>
            <w:r>
              <w:rPr>
                <w:rFonts w:ascii="Arial" w:cs="Arial" w:eastAsia="Arial" w:hAnsi="Arial"/>
                <w:sz w:val="18"/>
                <w:szCs w:val="18"/>
                <w:b w:val="1"/>
                <w:bCs w:val="1"/>
                <w:color w:val="00A4E4"/>
              </w:rPr>
              <w:t>FOR</w:t>
            </w:r>
          </w:p>
        </w:tc>
        <w:tc>
          <w:tcPr>
            <w:tcW w:w="0" w:type="dxa"/>
            <w:vAlign w:val="bottom"/>
          </w:tcPr>
          <w:p>
            <w:pPr>
              <w:spacing w:after="0"/>
              <w:rPr>
                <w:sz w:val="1"/>
                <w:szCs w:val="1"/>
                <w:color w:val="auto"/>
              </w:rPr>
            </w:pPr>
          </w:p>
        </w:tc>
      </w:tr>
      <w:tr>
        <w:trPr>
          <w:trHeight w:val="106"/>
        </w:trPr>
        <w:tc>
          <w:tcPr>
            <w:tcW w:w="460" w:type="dxa"/>
            <w:vAlign w:val="bottom"/>
          </w:tcPr>
          <w:p>
            <w:pPr>
              <w:spacing w:after="0"/>
              <w:rPr>
                <w:sz w:val="9"/>
                <w:szCs w:val="9"/>
                <w:color w:val="auto"/>
              </w:rPr>
            </w:pPr>
          </w:p>
        </w:tc>
        <w:tc>
          <w:tcPr>
            <w:tcW w:w="7860" w:type="dxa"/>
            <w:vAlign w:val="bottom"/>
            <w:vMerge w:val="restart"/>
          </w:tcPr>
          <w:p>
            <w:pPr>
              <w:ind w:left="40"/>
              <w:spacing w:after="0"/>
              <w:rPr>
                <w:sz w:val="20"/>
                <w:szCs w:val="20"/>
                <w:color w:val="auto"/>
              </w:rPr>
            </w:pPr>
            <w:r>
              <w:rPr>
                <w:rFonts w:ascii="Arial" w:cs="Arial" w:eastAsia="Arial" w:hAnsi="Arial"/>
                <w:sz w:val="18"/>
                <w:szCs w:val="18"/>
                <w:color w:val="auto"/>
              </w:rPr>
              <w:t>Firm</w:t>
            </w:r>
          </w:p>
        </w:tc>
        <w:tc>
          <w:tcPr>
            <w:tcW w:w="2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60" w:type="dxa"/>
            <w:vAlign w:val="bottom"/>
            <w:tcBorders>
              <w:bottom w:val="single" w:sz="8" w:color="auto"/>
            </w:tcBorders>
          </w:tcPr>
          <w:p>
            <w:pPr>
              <w:spacing w:after="0"/>
              <w:rPr>
                <w:sz w:val="11"/>
                <w:szCs w:val="11"/>
                <w:color w:val="auto"/>
              </w:rPr>
            </w:pPr>
          </w:p>
        </w:tc>
        <w:tc>
          <w:tcPr>
            <w:tcW w:w="7860" w:type="dxa"/>
            <w:vAlign w:val="bottom"/>
            <w:tcBorders>
              <w:bottom w:val="single" w:sz="8" w:color="auto"/>
            </w:tcBorders>
            <w:vMerge w:val="continue"/>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6749415</wp:posOffset>
            </wp:positionH>
            <wp:positionV relativeFrom="paragraph">
              <wp:posOffset>-726440</wp:posOffset>
            </wp:positionV>
            <wp:extent cx="152400" cy="15240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152400" cy="152400"/>
                    </a:xfrm>
                    <a:prstGeom prst="rect">
                      <a:avLst/>
                    </a:prstGeom>
                    <a:noFill/>
                  </pic:spPr>
                </pic:pic>
              </a:graphicData>
            </a:graphic>
          </wp:anchor>
        </w:drawing>
        <w:drawing>
          <wp:anchor simplePos="0" relativeHeight="251657728" behindDoc="1" locked="0" layoutInCell="0" allowOverlap="1">
            <wp:simplePos x="0" y="0"/>
            <wp:positionH relativeFrom="column">
              <wp:posOffset>6749415</wp:posOffset>
            </wp:positionH>
            <wp:positionV relativeFrom="paragraph">
              <wp:posOffset>-506730</wp:posOffset>
            </wp:positionV>
            <wp:extent cx="152400" cy="15240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152400" cy="152400"/>
                    </a:xfrm>
                    <a:prstGeom prst="rect">
                      <a:avLst/>
                    </a:prstGeom>
                    <a:noFill/>
                  </pic:spPr>
                </pic:pic>
              </a:graphicData>
            </a:graphic>
          </wp:anchor>
        </w:drawing>
        <w:drawing>
          <wp:anchor simplePos="0" relativeHeight="251657728" behindDoc="1" locked="0" layoutInCell="0" allowOverlap="1">
            <wp:simplePos x="0" y="0"/>
            <wp:positionH relativeFrom="column">
              <wp:posOffset>6749415</wp:posOffset>
            </wp:positionH>
            <wp:positionV relativeFrom="paragraph">
              <wp:posOffset>-252730</wp:posOffset>
            </wp:positionV>
            <wp:extent cx="152400" cy="15240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152400" cy="152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101600</wp:posOffset>
            </wp:positionV>
            <wp:extent cx="262255" cy="262255"/>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262255" cy="262255"/>
                    </a:xfrm>
                    <a:prstGeom prst="rect">
                      <a:avLst/>
                    </a:prstGeom>
                    <a:noFill/>
                  </pic:spPr>
                </pic:pic>
              </a:graphicData>
            </a:graphic>
          </wp:anchor>
        </w:drawing>
      </w:r>
    </w:p>
    <w:p>
      <w:pPr>
        <w:spacing w:after="0" w:line="194" w:lineRule="exact"/>
        <w:rPr>
          <w:sz w:val="20"/>
          <w:szCs w:val="20"/>
          <w:color w:val="auto"/>
        </w:rPr>
      </w:pPr>
    </w:p>
    <w:p>
      <w:pPr>
        <w:ind w:left="800"/>
        <w:spacing w:after="0"/>
        <w:rPr>
          <w:sz w:val="20"/>
          <w:szCs w:val="20"/>
          <w:color w:val="auto"/>
        </w:rPr>
      </w:pPr>
      <w:r>
        <w:rPr>
          <w:rFonts w:ascii="Arial" w:cs="Arial" w:eastAsia="Arial" w:hAnsi="Arial"/>
          <w:sz w:val="25"/>
          <w:szCs w:val="25"/>
          <w:color w:val="009844"/>
        </w:rPr>
        <w:t>How do I vote shares held by my broker, bank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163195</wp:posOffset>
            </wp:positionV>
            <wp:extent cx="262255" cy="262255"/>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262255" cy="262255"/>
                    </a:xfrm>
                    <a:prstGeom prst="rect">
                      <a:avLst/>
                    </a:prstGeom>
                    <a:noFill/>
                  </pic:spPr>
                </pic:pic>
              </a:graphicData>
            </a:graphic>
          </wp:anchor>
        </w:drawing>
      </w:r>
    </w:p>
    <w:p>
      <w:pPr>
        <w:spacing w:after="0" w:line="319" w:lineRule="exact"/>
        <w:rPr>
          <w:sz w:val="20"/>
          <w:szCs w:val="20"/>
          <w:color w:val="auto"/>
        </w:rPr>
      </w:pPr>
    </w:p>
    <w:p>
      <w:pPr>
        <w:ind w:left="800" w:right="280"/>
        <w:spacing w:after="0" w:line="266" w:lineRule="auto"/>
        <w:rPr>
          <w:sz w:val="20"/>
          <w:szCs w:val="20"/>
          <w:color w:val="auto"/>
        </w:rPr>
      </w:pPr>
      <w:r>
        <w:rPr>
          <w:rFonts w:ascii="Arial" w:cs="Arial" w:eastAsia="Arial" w:hAnsi="Arial"/>
          <w:sz w:val="15"/>
          <w:szCs w:val="15"/>
          <w:color w:val="auto"/>
        </w:rPr>
        <w:t>If a broker, bank or other nominee holds shares of Company stock for your benefit and the shares are not in your name on the transfer agent’s records, then you are considered the “beneficial owner” of those shares. If your shares are held this way, sometimes referred to as being held in “street name”, your broker, bank or other nominee will send you instructions on how to vote. If you have not heard from the broker, bank or other nominee who holds your Company stock, please contact them as soon as possible. If you plan to attend the meeting and would like to vote your shares held by a bank, broker or other nominee, you must obtain a legal proxy, as described in the admission procedures section on page 69.</w:t>
      </w:r>
    </w:p>
    <w:p>
      <w:pPr>
        <w:spacing w:after="0" w:line="162" w:lineRule="exact"/>
        <w:rPr>
          <w:sz w:val="20"/>
          <w:szCs w:val="20"/>
          <w:color w:val="auto"/>
        </w:rPr>
      </w:pPr>
    </w:p>
    <w:p>
      <w:pPr>
        <w:ind w:left="800" w:right="20"/>
        <w:spacing w:after="0" w:line="248" w:lineRule="auto"/>
        <w:rPr>
          <w:sz w:val="20"/>
          <w:szCs w:val="20"/>
          <w:color w:val="auto"/>
        </w:rPr>
      </w:pPr>
      <w:r>
        <w:rPr>
          <w:rFonts w:ascii="Arial" w:cs="Arial" w:eastAsia="Arial" w:hAnsi="Arial"/>
          <w:sz w:val="16"/>
          <w:szCs w:val="16"/>
          <w:color w:val="auto"/>
        </w:rPr>
        <w:t>If you do not give your broker instructions as to how to vote, under NYSE rules, your broker has discretionary authority to vote your shares for you on Item 3 to ratify the appointment of auditors. Your broker may not vote for you without your instructions on the other items of business. Shares not voted on these other matters by your broker because you have not provided instructions are sometimes referred to as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262255" cy="262255"/>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262255" cy="262255"/>
                    </a:xfrm>
                    <a:prstGeom prst="rect">
                      <a:avLst/>
                    </a:prstGeom>
                    <a:noFill/>
                  </pic:spPr>
                </pic:pic>
              </a:graphicData>
            </a:graphic>
          </wp:anchor>
        </w:drawing>
      </w:r>
    </w:p>
    <w:p>
      <w:pPr>
        <w:spacing w:after="0" w:line="208" w:lineRule="exact"/>
        <w:rPr>
          <w:sz w:val="20"/>
          <w:szCs w:val="20"/>
          <w:color w:val="auto"/>
        </w:rPr>
      </w:pPr>
    </w:p>
    <w:p>
      <w:pPr>
        <w:ind w:left="800"/>
        <w:spacing w:after="0"/>
        <w:rPr>
          <w:sz w:val="20"/>
          <w:szCs w:val="20"/>
          <w:color w:val="auto"/>
        </w:rPr>
      </w:pPr>
      <w:r>
        <w:rPr>
          <w:rFonts w:ascii="Arial" w:cs="Arial" w:eastAsia="Arial" w:hAnsi="Arial"/>
          <w:sz w:val="25"/>
          <w:szCs w:val="25"/>
          <w:color w:val="009844"/>
        </w:rPr>
        <w:t>May I change my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163195</wp:posOffset>
            </wp:positionV>
            <wp:extent cx="262255" cy="262255"/>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262255" cy="262255"/>
                    </a:xfrm>
                    <a:prstGeom prst="rect">
                      <a:avLst/>
                    </a:prstGeom>
                    <a:noFill/>
                  </pic:spPr>
                </pic:pic>
              </a:graphicData>
            </a:graphic>
          </wp:anchor>
        </w:drawing>
      </w:r>
    </w:p>
    <w:p>
      <w:pPr>
        <w:spacing w:after="0" w:line="319" w:lineRule="exact"/>
        <w:rPr>
          <w:sz w:val="20"/>
          <w:szCs w:val="20"/>
          <w:color w:val="auto"/>
        </w:rPr>
      </w:pPr>
    </w:p>
    <w:p>
      <w:pPr>
        <w:jc w:val="both"/>
        <w:ind w:left="800" w:right="160"/>
        <w:spacing w:after="0" w:line="248" w:lineRule="auto"/>
        <w:rPr>
          <w:sz w:val="20"/>
          <w:szCs w:val="20"/>
          <w:color w:val="auto"/>
        </w:rPr>
      </w:pPr>
      <w:r>
        <w:rPr>
          <w:rFonts w:ascii="Arial" w:cs="Arial" w:eastAsia="Arial" w:hAnsi="Arial"/>
          <w:sz w:val="16"/>
          <w:szCs w:val="16"/>
          <w:color w:val="auto"/>
        </w:rPr>
        <w:t>Yes. You may revoke your proxy at any time before the Annual Meeting by submitting a later dated proxy card, by a later telephone or online vote, by notifying us that you have revoked your proxy or by attending the Annual Meeting and following the voting instructions provided on the meeting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262255" cy="262255"/>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262255" cy="262255"/>
                    </a:xfrm>
                    <a:prstGeom prst="rect">
                      <a:avLst/>
                    </a:prstGeom>
                    <a:noFill/>
                  </pic:spPr>
                </pic:pic>
              </a:graphicData>
            </a:graphic>
          </wp:anchor>
        </w:drawing>
      </w:r>
    </w:p>
    <w:p>
      <w:pPr>
        <w:spacing w:after="0" w:line="208" w:lineRule="exact"/>
        <w:rPr>
          <w:sz w:val="20"/>
          <w:szCs w:val="20"/>
          <w:color w:val="auto"/>
        </w:rPr>
      </w:pPr>
    </w:p>
    <w:p>
      <w:pPr>
        <w:ind w:left="800"/>
        <w:spacing w:after="0"/>
        <w:rPr>
          <w:sz w:val="20"/>
          <w:szCs w:val="20"/>
          <w:color w:val="auto"/>
        </w:rPr>
      </w:pPr>
      <w:r>
        <w:rPr>
          <w:rFonts w:ascii="Arial" w:cs="Arial" w:eastAsia="Arial" w:hAnsi="Arial"/>
          <w:sz w:val="25"/>
          <w:szCs w:val="25"/>
          <w:color w:val="009844"/>
        </w:rPr>
        <w:t>How is Company stock in the Company’s Retirement Savings Plan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163195</wp:posOffset>
            </wp:positionV>
            <wp:extent cx="262255" cy="262255"/>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262255" cy="262255"/>
                    </a:xfrm>
                    <a:prstGeom prst="rect">
                      <a:avLst/>
                    </a:prstGeom>
                    <a:noFill/>
                  </pic:spPr>
                </pic:pic>
              </a:graphicData>
            </a:graphic>
          </wp:anchor>
        </w:drawing>
      </w:r>
    </w:p>
    <w:p>
      <w:pPr>
        <w:spacing w:after="0" w:line="319" w:lineRule="exact"/>
        <w:rPr>
          <w:sz w:val="20"/>
          <w:szCs w:val="20"/>
          <w:color w:val="auto"/>
        </w:rPr>
      </w:pPr>
    </w:p>
    <w:p>
      <w:pPr>
        <w:ind w:left="800" w:right="20"/>
        <w:spacing w:after="0" w:line="245" w:lineRule="auto"/>
        <w:rPr>
          <w:sz w:val="20"/>
          <w:szCs w:val="20"/>
          <w:color w:val="auto"/>
        </w:rPr>
      </w:pPr>
      <w:r>
        <w:rPr>
          <w:rFonts w:ascii="Arial" w:cs="Arial" w:eastAsia="Arial" w:hAnsi="Arial"/>
          <w:sz w:val="16"/>
          <w:szCs w:val="16"/>
          <w:color w:val="auto"/>
        </w:rPr>
        <w:t>If you are an employee who owns shares of Company stock under the RSP and you have regular access to a computer for performing your job, you were sent an e-mail with instructions on how to view the proxy materials and provide your voting instructions. Other participants in the RSP will receive proxy materials and a proxy card in the mail. The RSP trustee, Fidelity Management Trust Company, will vote shares of Company stock allocated to your RSP account on the record date in accordance with the directions you give on how to vote. The trustee will cast your vote in a manner that will protect your voting privacy. If you do not give voting instructions or your instructions are unclear, the trustee will vote the shares in the same proportions and manner as overall RSP participants instruct the trustee to vote shares allocated to their RSP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111760</wp:posOffset>
            </wp:positionV>
            <wp:extent cx="262255" cy="262255"/>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262255" cy="262255"/>
                    </a:xfrm>
                    <a:prstGeom prst="rect">
                      <a:avLst/>
                    </a:prstGeom>
                    <a:noFill/>
                  </pic:spPr>
                </pic:pic>
              </a:graphicData>
            </a:graphic>
          </wp:anchor>
        </w:drawing>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25"/>
          <w:szCs w:val="25"/>
          <w:color w:val="009844"/>
        </w:rPr>
        <w:t>What is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163195</wp:posOffset>
            </wp:positionV>
            <wp:extent cx="262255" cy="262255"/>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262255" cy="262255"/>
                    </a:xfrm>
                    <a:prstGeom prst="rect">
                      <a:avLst/>
                    </a:prstGeom>
                    <a:noFill/>
                  </pic:spPr>
                </pic:pic>
              </a:graphicData>
            </a:graphic>
          </wp:anchor>
        </w:drawing>
      </w:r>
    </w:p>
    <w:p>
      <w:pPr>
        <w:spacing w:after="0" w:line="319" w:lineRule="exact"/>
        <w:rPr>
          <w:sz w:val="20"/>
          <w:szCs w:val="20"/>
          <w:color w:val="auto"/>
        </w:rPr>
      </w:pPr>
    </w:p>
    <w:p>
      <w:pPr>
        <w:ind w:left="800" w:right="220"/>
        <w:spacing w:after="0" w:line="246" w:lineRule="auto"/>
        <w:rPr>
          <w:sz w:val="20"/>
          <w:szCs w:val="20"/>
          <w:color w:val="auto"/>
        </w:rPr>
      </w:pPr>
      <w:r>
        <w:rPr>
          <w:rFonts w:ascii="Arial" w:cs="Arial" w:eastAsia="Arial" w:hAnsi="Arial"/>
          <w:sz w:val="16"/>
          <w:szCs w:val="16"/>
          <w:color w:val="auto"/>
        </w:rPr>
        <w:t>A quorum is necessary to hold a valid meeting of shareholders. A quorum exists if a majority of the outstanding shares of Company stock are present at the Annual Meeting or represented there by proxy. If you vote, including by Internet, telephone or proxy card, your shares voted will be counted towards the quorum for the Annual Meeting. Proxies marked as abstentions and broker discretionary votes are treated as present for purposes of determining a quorum.</w:t>
      </w:r>
    </w:p>
    <w:p>
      <w:pPr>
        <w:spacing w:after="0" w:line="30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7155180" cy="20955"/>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262255" cy="262255"/>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262255" cy="262255"/>
                    </a:xfrm>
                    <a:prstGeom prst="rect">
                      <a:avLst/>
                    </a:prstGeom>
                    <a:noFill/>
                  </pic:spPr>
                </pic:pic>
              </a:graphicData>
            </a:graphic>
          </wp:anchor>
        </w:drawing>
      </w:r>
    </w:p>
    <w:p>
      <w:pPr>
        <w:spacing w:after="0" w:line="240" w:lineRule="exact"/>
        <w:rPr>
          <w:sz w:val="20"/>
          <w:szCs w:val="20"/>
          <w:color w:val="auto"/>
        </w:rPr>
      </w:pPr>
    </w:p>
    <w:p>
      <w:pPr>
        <w:ind w:left="800"/>
        <w:spacing w:after="0"/>
        <w:rPr>
          <w:sz w:val="20"/>
          <w:szCs w:val="20"/>
          <w:color w:val="auto"/>
        </w:rPr>
      </w:pPr>
      <w:r>
        <w:rPr>
          <w:rFonts w:ascii="Arial" w:cs="Arial" w:eastAsia="Arial" w:hAnsi="Arial"/>
          <w:sz w:val="25"/>
          <w:szCs w:val="25"/>
          <w:color w:val="009844"/>
        </w:rPr>
        <w:t>What vote is necessary to pass the items of business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171450</wp:posOffset>
            </wp:positionV>
            <wp:extent cx="262255" cy="262255"/>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262255" cy="262255"/>
                    </a:xfrm>
                    <a:prstGeom prst="rect">
                      <a:avLst/>
                    </a:prstGeom>
                    <a:noFill/>
                  </pic:spPr>
                </pic:pic>
              </a:graphicData>
            </a:graphic>
          </wp:anchor>
        </w:drawing>
      </w:r>
    </w:p>
    <w:p>
      <w:pPr>
        <w:spacing w:after="0" w:line="312" w:lineRule="exact"/>
        <w:rPr>
          <w:sz w:val="20"/>
          <w:szCs w:val="20"/>
          <w:color w:val="auto"/>
        </w:rPr>
      </w:pPr>
    </w:p>
    <w:p>
      <w:pPr>
        <w:ind w:left="800" w:right="20"/>
        <w:spacing w:after="0" w:line="252" w:lineRule="auto"/>
        <w:rPr>
          <w:sz w:val="20"/>
          <w:szCs w:val="20"/>
          <w:color w:val="auto"/>
        </w:rPr>
      </w:pPr>
      <w:r>
        <w:rPr>
          <w:rFonts w:ascii="Arial" w:cs="Arial" w:eastAsia="Arial" w:hAnsi="Arial"/>
          <w:sz w:val="16"/>
          <w:szCs w:val="16"/>
          <w:b w:val="1"/>
          <w:bCs w:val="1"/>
          <w:i w:val="1"/>
          <w:iCs w:val="1"/>
          <w:color w:val="auto"/>
        </w:rPr>
        <w:t>Election of Directors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Bylaws provide that if a quorum is present at the Annual Meeting and the number of director nominees does not exceed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number of directors to be elected (</w:t>
      </w:r>
      <w:r>
        <w:rPr>
          <w:rFonts w:ascii="Arial" w:cs="Arial" w:eastAsia="Arial" w:hAnsi="Arial"/>
          <w:sz w:val="16"/>
          <w:szCs w:val="16"/>
          <w:i w:val="1"/>
          <w:iCs w:val="1"/>
          <w:color w:val="auto"/>
        </w:rPr>
        <w:t>i.e.</w:t>
      </w:r>
      <w:r>
        <w:rPr>
          <w:rFonts w:ascii="Arial" w:cs="Arial" w:eastAsia="Arial" w:hAnsi="Arial"/>
          <w:sz w:val="16"/>
          <w:szCs w:val="16"/>
          <w:color w:val="auto"/>
        </w:rPr>
        <w:t>, an uncontested election), director nominees will be elected if they receive a majority of the votes cast at the meeting in person or by proxy. This means that in uncontested elections the nominees will be elected if the number of shares voted “for” the nominee exceeds the number of shares voted “against” the nominee. In a contested election, nominees would be elected by a plurality of votes cast. Abstentions and broker nonvotes are not counted as votes cast and therefore will have no effect.</w:t>
      </w:r>
    </w:p>
    <w:p>
      <w:pPr>
        <w:spacing w:after="0" w:line="186" w:lineRule="exact"/>
        <w:rPr>
          <w:sz w:val="20"/>
          <w:szCs w:val="20"/>
          <w:color w:val="auto"/>
        </w:rPr>
      </w:pPr>
    </w:p>
    <w:p>
      <w:pPr>
        <w:ind w:left="800"/>
        <w:spacing w:after="0" w:line="245" w:lineRule="auto"/>
        <w:rPr>
          <w:sz w:val="20"/>
          <w:szCs w:val="20"/>
          <w:color w:val="auto"/>
        </w:rPr>
      </w:pPr>
      <w:r>
        <w:rPr>
          <w:rFonts w:ascii="Arial" w:cs="Arial" w:eastAsia="Arial" w:hAnsi="Arial"/>
          <w:sz w:val="16"/>
          <w:szCs w:val="16"/>
          <w:color w:val="auto"/>
        </w:rPr>
        <w:t>Under our Corporate Governance Guidelines, any incumbent director who is not re-elected by a majority of the votes cast must tender his or her resignation to the Corporate Governance and Nominating Committee for its consideration. The Corporate Governance and Nominating Committee then recommends to the Board whether to accept the resignation. The director will continue to serve until the Board decides whether to accept the resignation but will not participate in the Committee’s recommendation or the Board’s action regarding whether to accept the resignation. The Board will publicly disclose its decision and rationale within 90 days after certification of the election results by the inspector of election. If the Board does not accept the director’s resignation, the director will continue to serve.</w:t>
      </w:r>
    </w:p>
    <w:p>
      <w:pPr>
        <w:spacing w:after="0" w:line="171" w:lineRule="exact"/>
        <w:rPr>
          <w:sz w:val="20"/>
          <w:szCs w:val="20"/>
          <w:color w:val="auto"/>
        </w:rPr>
      </w:pPr>
    </w:p>
    <w:p>
      <w:pPr>
        <w:ind w:left="800" w:right="640"/>
        <w:spacing w:after="0" w:line="280" w:lineRule="auto"/>
        <w:rPr>
          <w:sz w:val="20"/>
          <w:szCs w:val="20"/>
          <w:color w:val="auto"/>
        </w:rPr>
      </w:pPr>
      <w:r>
        <w:rPr>
          <w:rFonts w:ascii="Arial" w:cs="Arial" w:eastAsia="Arial" w:hAnsi="Arial"/>
          <w:sz w:val="16"/>
          <w:szCs w:val="16"/>
          <w:b w:val="1"/>
          <w:bCs w:val="1"/>
          <w:i w:val="1"/>
          <w:iCs w:val="1"/>
          <w:color w:val="auto"/>
        </w:rPr>
        <w:t>All Other Items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other two items of business will be approved if shares voted in favor of the proposal exceed shares voted against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proposal. Abstentions and broker nonvotes will not affect the outcome of the vote on these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262255" cy="262255"/>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262255" cy="262255"/>
                    </a:xfrm>
                    <a:prstGeom prst="rect">
                      <a:avLst/>
                    </a:prstGeom>
                    <a:noFill/>
                  </pic:spPr>
                </pic:pic>
              </a:graphicData>
            </a:graphic>
          </wp:anchor>
        </w:drawing>
      </w:r>
    </w:p>
    <w:p>
      <w:pPr>
        <w:spacing w:after="0" w:line="196" w:lineRule="exact"/>
        <w:rPr>
          <w:sz w:val="20"/>
          <w:szCs w:val="20"/>
          <w:color w:val="auto"/>
        </w:rPr>
      </w:pPr>
    </w:p>
    <w:p>
      <w:pPr>
        <w:ind w:left="800"/>
        <w:spacing w:after="0"/>
        <w:rPr>
          <w:sz w:val="20"/>
          <w:szCs w:val="20"/>
          <w:color w:val="auto"/>
        </w:rPr>
      </w:pPr>
      <w:r>
        <w:rPr>
          <w:rFonts w:ascii="Arial" w:cs="Arial" w:eastAsia="Arial" w:hAnsi="Arial"/>
          <w:sz w:val="25"/>
          <w:szCs w:val="25"/>
          <w:color w:val="009844"/>
        </w:rPr>
        <w:t>How will voting on any other business be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171450</wp:posOffset>
            </wp:positionV>
            <wp:extent cx="262255" cy="262255"/>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262255" cy="262255"/>
                    </a:xfrm>
                    <a:prstGeom prst="rect">
                      <a:avLst/>
                    </a:prstGeom>
                    <a:noFill/>
                  </pic:spPr>
                </pic:pic>
              </a:graphicData>
            </a:graphic>
          </wp:anchor>
        </w:drawing>
      </w:r>
    </w:p>
    <w:p>
      <w:pPr>
        <w:spacing w:after="0" w:line="332" w:lineRule="exact"/>
        <w:rPr>
          <w:sz w:val="20"/>
          <w:szCs w:val="20"/>
          <w:color w:val="auto"/>
        </w:rPr>
      </w:pPr>
    </w:p>
    <w:p>
      <w:pPr>
        <w:jc w:val="both"/>
        <w:ind w:left="800" w:right="60"/>
        <w:spacing w:after="0" w:line="248" w:lineRule="auto"/>
        <w:rPr>
          <w:sz w:val="20"/>
          <w:szCs w:val="20"/>
          <w:color w:val="auto"/>
        </w:rPr>
      </w:pPr>
      <w:r>
        <w:rPr>
          <w:rFonts w:ascii="Arial" w:cs="Arial" w:eastAsia="Arial" w:hAnsi="Arial"/>
          <w:sz w:val="16"/>
          <w:szCs w:val="16"/>
          <w:color w:val="auto"/>
        </w:rPr>
        <w:t>We do not know of any business or proposals to be considered at the Annual Meeting other than the items described in this proxy statement. If any other business is proposed and the Chairman of the Annual Meeting permits it to be presented at the Annual Meeting, the signed proxies received from you and other shareholders give the persons voting the proxies the authority to vote on the matter according to their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262255" cy="262255"/>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262255" cy="262255"/>
                    </a:xfrm>
                    <a:prstGeom prst="rect">
                      <a:avLst/>
                    </a:prstGeom>
                    <a:noFill/>
                  </pic:spPr>
                </pic:pic>
              </a:graphicData>
            </a:graphic>
          </wp:anchor>
        </w:drawing>
      </w:r>
    </w:p>
    <w:p>
      <w:pPr>
        <w:spacing w:after="0" w:line="221" w:lineRule="exact"/>
        <w:rPr>
          <w:sz w:val="20"/>
          <w:szCs w:val="20"/>
          <w:color w:val="auto"/>
        </w:rPr>
      </w:pPr>
    </w:p>
    <w:p>
      <w:pPr>
        <w:ind w:left="800"/>
        <w:spacing w:after="0"/>
        <w:rPr>
          <w:sz w:val="20"/>
          <w:szCs w:val="20"/>
          <w:color w:val="auto"/>
        </w:rPr>
      </w:pPr>
      <w:r>
        <w:rPr>
          <w:rFonts w:ascii="Arial" w:cs="Arial" w:eastAsia="Arial" w:hAnsi="Arial"/>
          <w:sz w:val="25"/>
          <w:szCs w:val="25"/>
          <w:color w:val="009844"/>
        </w:rPr>
        <w:t>When are shareholder proposals for the 2023 Annual Meeting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171450</wp:posOffset>
            </wp:positionV>
            <wp:extent cx="262255" cy="262255"/>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262255" cy="262255"/>
                    </a:xfrm>
                    <a:prstGeom prst="rect">
                      <a:avLst/>
                    </a:prstGeom>
                    <a:noFill/>
                  </pic:spPr>
                </pic:pic>
              </a:graphicData>
            </a:graphic>
          </wp:anchor>
        </w:drawing>
      </w:r>
    </w:p>
    <w:p>
      <w:pPr>
        <w:spacing w:after="0" w:line="332" w:lineRule="exact"/>
        <w:rPr>
          <w:sz w:val="20"/>
          <w:szCs w:val="20"/>
          <w:color w:val="auto"/>
        </w:rPr>
      </w:pPr>
    </w:p>
    <w:p>
      <w:pPr>
        <w:ind w:left="800" w:right="100"/>
        <w:spacing w:after="0" w:line="254" w:lineRule="auto"/>
        <w:rPr>
          <w:sz w:val="20"/>
          <w:szCs w:val="20"/>
          <w:color w:val="auto"/>
        </w:rPr>
      </w:pPr>
      <w:r>
        <w:rPr>
          <w:rFonts w:ascii="Arial" w:cs="Arial" w:eastAsia="Arial" w:hAnsi="Arial"/>
          <w:sz w:val="16"/>
          <w:szCs w:val="16"/>
          <w:color w:val="auto"/>
        </w:rPr>
        <w:t>To be considered for inclusion in next year’s proxy statement, shareholder proposals must be delivered in writing to the Secretary of the Company, Air Products and Chemicals, Inc., 1940 Air Products Boulevard, Allentown, PA 18106-5500 no later than August 17, 2022.</w:t>
      </w:r>
    </w:p>
    <w:p>
      <w:pPr>
        <w:spacing w:after="0" w:line="183" w:lineRule="exact"/>
        <w:rPr>
          <w:sz w:val="20"/>
          <w:szCs w:val="20"/>
          <w:color w:val="auto"/>
        </w:rPr>
      </w:pPr>
    </w:p>
    <w:p>
      <w:pPr>
        <w:ind w:left="800" w:right="60"/>
        <w:spacing w:after="0" w:line="244" w:lineRule="auto"/>
        <w:rPr>
          <w:sz w:val="20"/>
          <w:szCs w:val="20"/>
          <w:color w:val="auto"/>
        </w:rPr>
      </w:pPr>
      <w:r>
        <w:rPr>
          <w:rFonts w:ascii="Arial" w:cs="Arial" w:eastAsia="Arial" w:hAnsi="Arial"/>
          <w:sz w:val="16"/>
          <w:szCs w:val="16"/>
          <w:color w:val="auto"/>
        </w:rPr>
        <w:t xml:space="preserve">To be presented at the 2023 Annual Meeting of Shareholders, our Bylaws require that adequate written notice of a proposal to be presented or director nominations must be delivered in writing to the Secretary of the Company in person or by mail at the address stated above on or after October 6, 2022 but no later than November 5, 2022, and a director nomination pursuant to our proxy access bylaw must be delivered on or after July 18, 2022 but no later than August 17, 2022. To be considered adequate, the notice must contain other information specified in our Bylaws about the matter to be presented at the meeting and the shareholder proposing the matter. A copy of our Bylaws can be found in the “Governance” section of our website at </w:t>
      </w:r>
      <w:r>
        <w:rPr>
          <w:rFonts w:ascii="Arial" w:cs="Arial" w:eastAsia="Arial" w:hAnsi="Arial"/>
          <w:sz w:val="16"/>
          <w:szCs w:val="16"/>
          <w:i w:val="1"/>
          <w:iCs w:val="1"/>
          <w:color w:val="009844"/>
        </w:rPr>
        <w:t>www.airproducts.com</w:t>
      </w:r>
      <w:r>
        <w:rPr>
          <w:rFonts w:ascii="Arial" w:cs="Arial" w:eastAsia="Arial" w:hAnsi="Arial"/>
          <w:sz w:val="16"/>
          <w:szCs w:val="16"/>
          <w:color w:val="009844"/>
        </w:rPr>
        <w:t>.</w:t>
      </w:r>
      <w:r>
        <w:rPr>
          <w:rFonts w:ascii="Arial" w:cs="Arial" w:eastAsia="Arial" w:hAnsi="Arial"/>
          <w:sz w:val="16"/>
          <w:szCs w:val="16"/>
          <w:color w:val="auto"/>
        </w:rPr>
        <w:t xml:space="preserve"> Proposals and director nominations received after the applicable deadlines will be considered untimely and will not be entitled to be presented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122555</wp:posOffset>
            </wp:positionV>
            <wp:extent cx="262255" cy="262255"/>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262255" cy="262255"/>
                    </a:xfrm>
                    <a:prstGeom prst="rect">
                      <a:avLst/>
                    </a:prstGeom>
                    <a:noFill/>
                  </pic:spPr>
                </pic:pic>
              </a:graphicData>
            </a:graphic>
          </wp:anchor>
        </w:drawing>
      </w:r>
    </w:p>
    <w:p>
      <w:pPr>
        <w:spacing w:after="0" w:line="228" w:lineRule="exact"/>
        <w:rPr>
          <w:sz w:val="20"/>
          <w:szCs w:val="20"/>
          <w:color w:val="auto"/>
        </w:rPr>
      </w:pPr>
    </w:p>
    <w:p>
      <w:pPr>
        <w:ind w:left="800"/>
        <w:spacing w:after="0"/>
        <w:rPr>
          <w:sz w:val="20"/>
          <w:szCs w:val="20"/>
          <w:color w:val="auto"/>
        </w:rPr>
      </w:pPr>
      <w:r>
        <w:rPr>
          <w:rFonts w:ascii="Arial" w:cs="Arial" w:eastAsia="Arial" w:hAnsi="Arial"/>
          <w:sz w:val="25"/>
          <w:szCs w:val="25"/>
          <w:color w:val="009844"/>
        </w:rPr>
        <w:t>What are the costs of this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171450</wp:posOffset>
            </wp:positionV>
            <wp:extent cx="262255" cy="262255"/>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262255" cy="262255"/>
                    </a:xfrm>
                    <a:prstGeom prst="rect">
                      <a:avLst/>
                    </a:prstGeom>
                    <a:noFill/>
                  </pic:spPr>
                </pic:pic>
              </a:graphicData>
            </a:graphic>
          </wp:anchor>
        </w:drawing>
      </w:r>
    </w:p>
    <w:p>
      <w:pPr>
        <w:spacing w:after="0" w:line="332" w:lineRule="exact"/>
        <w:rPr>
          <w:sz w:val="20"/>
          <w:szCs w:val="20"/>
          <w:color w:val="auto"/>
        </w:rPr>
      </w:pPr>
    </w:p>
    <w:p>
      <w:pPr>
        <w:ind w:left="800"/>
        <w:spacing w:after="0" w:line="246" w:lineRule="auto"/>
        <w:rPr>
          <w:sz w:val="20"/>
          <w:szCs w:val="20"/>
          <w:color w:val="auto"/>
        </w:rPr>
      </w:pPr>
      <w:r>
        <w:rPr>
          <w:rFonts w:ascii="Arial" w:cs="Arial" w:eastAsia="Arial" w:hAnsi="Arial"/>
          <w:sz w:val="16"/>
          <w:szCs w:val="16"/>
          <w:color w:val="auto"/>
        </w:rPr>
        <w:t>We reimburse banks, brokers and other custodians, nominees and fiduciaries for their reasonable out-of-pocket expenses for forwarding proxy materials to you, because they hold title to Company stock for you. In addition to using the mail, our directors, officers and employees may solicit proxies by personal interview, telephone, telegram or otherwise, although they will not be paid any additional compensation. The Company will bear all expenses of soliciting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204470</wp:posOffset>
            </wp:positionV>
            <wp:extent cx="845185" cy="202565"/>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845185" cy="202565"/>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7155180" cy="20955"/>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262255" cy="262255"/>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262255" cy="262255"/>
                    </a:xfrm>
                    <a:prstGeom prst="rect">
                      <a:avLst/>
                    </a:prstGeom>
                    <a:noFill/>
                  </pic:spPr>
                </pic:pic>
              </a:graphicData>
            </a:graphic>
          </wp:anchor>
        </w:drawing>
      </w:r>
    </w:p>
    <w:p>
      <w:pPr>
        <w:spacing w:after="0" w:line="240" w:lineRule="exact"/>
        <w:rPr>
          <w:sz w:val="20"/>
          <w:szCs w:val="20"/>
          <w:color w:val="auto"/>
        </w:rPr>
      </w:pPr>
    </w:p>
    <w:p>
      <w:pPr>
        <w:ind w:left="800"/>
        <w:spacing w:after="0"/>
        <w:rPr>
          <w:sz w:val="20"/>
          <w:szCs w:val="20"/>
          <w:color w:val="auto"/>
        </w:rPr>
      </w:pPr>
      <w:r>
        <w:rPr>
          <w:rFonts w:ascii="Arial" w:cs="Arial" w:eastAsia="Arial" w:hAnsi="Arial"/>
          <w:sz w:val="25"/>
          <w:szCs w:val="25"/>
          <w:color w:val="009844"/>
        </w:rPr>
        <w:t>May I inspect the shareholder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163195</wp:posOffset>
            </wp:positionV>
            <wp:extent cx="262255" cy="262255"/>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262255" cy="262255"/>
                    </a:xfrm>
                    <a:prstGeom prst="rect">
                      <a:avLst/>
                    </a:prstGeom>
                    <a:noFill/>
                  </pic:spPr>
                </pic:pic>
              </a:graphicData>
            </a:graphic>
          </wp:anchor>
        </w:drawing>
      </w:r>
    </w:p>
    <w:p>
      <w:pPr>
        <w:spacing w:after="0" w:line="319" w:lineRule="exact"/>
        <w:rPr>
          <w:sz w:val="20"/>
          <w:szCs w:val="20"/>
          <w:color w:val="auto"/>
        </w:rPr>
      </w:pPr>
    </w:p>
    <w:p>
      <w:pPr>
        <w:jc w:val="both"/>
        <w:ind w:left="800" w:right="40"/>
        <w:spacing w:after="0" w:line="246" w:lineRule="auto"/>
        <w:rPr>
          <w:sz w:val="20"/>
          <w:szCs w:val="20"/>
          <w:color w:val="auto"/>
        </w:rPr>
      </w:pPr>
      <w:r>
        <w:rPr>
          <w:rFonts w:ascii="Arial" w:cs="Arial" w:eastAsia="Arial" w:hAnsi="Arial"/>
          <w:sz w:val="16"/>
          <w:szCs w:val="16"/>
          <w:color w:val="auto"/>
        </w:rPr>
        <w:t xml:space="preserve">For a period of 10 days prior to the Annual Meeting, a list of shareholders registered on the books of our transfer agent as of the record date will be available for examination by registered shareholders during normal business hours at the Company’s principal offices as long as the examination is for a purpose germane to the meeting. The list of shareholders will also be available for inspection by authenticated shareholders during the Annual Meeting on the virtual meeting website, </w:t>
      </w:r>
      <w:r>
        <w:rPr>
          <w:rFonts w:ascii="Arial" w:cs="Arial" w:eastAsia="Arial" w:hAnsi="Arial"/>
          <w:sz w:val="16"/>
          <w:szCs w:val="16"/>
          <w:i w:val="1"/>
          <w:iCs w:val="1"/>
          <w:color w:val="009844"/>
        </w:rPr>
        <w:t>www.virtualshareholdermeeting.com/APD2022</w:t>
      </w:r>
      <w:r>
        <w:rPr>
          <w:rFonts w:ascii="Arial" w:cs="Arial" w:eastAsia="Arial" w:hAnsi="Arial"/>
          <w:sz w:val="16"/>
          <w:szCs w:val="16"/>
          <w:color w:val="00984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111760</wp:posOffset>
            </wp:positionV>
            <wp:extent cx="262255" cy="262255"/>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262255" cy="262255"/>
                    </a:xfrm>
                    <a:prstGeom prst="rect">
                      <a:avLst/>
                    </a:prstGeom>
                    <a:noFill/>
                  </pic:spPr>
                </pic:pic>
              </a:graphicData>
            </a:graphic>
          </wp:anchor>
        </w:drawing>
      </w:r>
    </w:p>
    <w:p>
      <w:pPr>
        <w:spacing w:after="0" w:line="210" w:lineRule="exact"/>
        <w:rPr>
          <w:sz w:val="20"/>
          <w:szCs w:val="20"/>
          <w:color w:val="auto"/>
        </w:rPr>
      </w:pPr>
    </w:p>
    <w:p>
      <w:pPr>
        <w:ind w:left="800"/>
        <w:spacing w:after="0"/>
        <w:rPr>
          <w:sz w:val="20"/>
          <w:szCs w:val="20"/>
          <w:color w:val="auto"/>
        </w:rPr>
      </w:pPr>
      <w:r>
        <w:rPr>
          <w:rFonts w:ascii="Arial" w:cs="Arial" w:eastAsia="Arial" w:hAnsi="Arial"/>
          <w:sz w:val="25"/>
          <w:szCs w:val="25"/>
          <w:color w:val="009844"/>
        </w:rPr>
        <w:t>How can I get materials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163195</wp:posOffset>
            </wp:positionV>
            <wp:extent cx="262255" cy="262255"/>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262255" cy="262255"/>
                    </a:xfrm>
                    <a:prstGeom prst="rect">
                      <a:avLst/>
                    </a:prstGeom>
                    <a:noFill/>
                  </pic:spPr>
                </pic:pic>
              </a:graphicData>
            </a:graphic>
          </wp:anchor>
        </w:drawing>
      </w:r>
    </w:p>
    <w:p>
      <w:pPr>
        <w:spacing w:after="0" w:line="319" w:lineRule="exact"/>
        <w:rPr>
          <w:sz w:val="20"/>
          <w:szCs w:val="20"/>
          <w:color w:val="auto"/>
        </w:rPr>
      </w:pPr>
    </w:p>
    <w:p>
      <w:pPr>
        <w:ind w:left="800"/>
        <w:spacing w:after="0" w:line="245" w:lineRule="auto"/>
        <w:rPr>
          <w:sz w:val="20"/>
          <w:szCs w:val="20"/>
          <w:color w:val="auto"/>
        </w:rPr>
      </w:pPr>
      <w:r>
        <w:rPr>
          <w:rFonts w:ascii="Arial" w:cs="Arial" w:eastAsia="Arial" w:hAnsi="Arial"/>
          <w:sz w:val="16"/>
          <w:szCs w:val="16"/>
          <w:color w:val="auto"/>
        </w:rPr>
        <w:t>Under rules adopted by the SEC, we are furnishing proxy materials to most of our shareholders via the Internet instead of mailing printed copies of those materials to each shareholder. On December 15, 2021, we mailed to our shareholders (other than those who previously requested electronic or paper delivery) a Notice of Availability of Proxy Materials containing instructions on how to access our proxy materials, including our proxy statement and our 2021 Annual Report to Shareholders. The Notice of Availability of Proxy Materials also instructs you on how to access your proxy card to vote via the Internet.</w:t>
      </w:r>
    </w:p>
    <w:p>
      <w:pPr>
        <w:spacing w:after="0" w:line="179" w:lineRule="exact"/>
        <w:rPr>
          <w:sz w:val="20"/>
          <w:szCs w:val="20"/>
          <w:color w:val="auto"/>
        </w:rPr>
      </w:pPr>
    </w:p>
    <w:p>
      <w:pPr>
        <w:ind w:left="800" w:right="200"/>
        <w:spacing w:after="0" w:line="246" w:lineRule="auto"/>
        <w:rPr>
          <w:sz w:val="20"/>
          <w:szCs w:val="20"/>
          <w:color w:val="auto"/>
        </w:rPr>
      </w:pPr>
      <w:r>
        <w:rPr>
          <w:rFonts w:ascii="Arial" w:cs="Arial" w:eastAsia="Arial" w:hAnsi="Arial"/>
          <w:sz w:val="16"/>
          <w:szCs w:val="16"/>
          <w:color w:val="auto"/>
        </w:rPr>
        <w:t>This process is designed to expedite shareholders’ receipt of proxy materials, lower the cost of the Annual Meeting and help conserve natural resources. However, if you would prefer to receive printed proxy materials, please follow the instructions included in the Notice of Availability of Proxy Materials. If you have previously elected to receive our proxy materials electronically, you will continue to receive these materials via e-mail unless you elect otherwise.</w:t>
      </w:r>
    </w:p>
    <w:p>
      <w:pPr>
        <w:spacing w:after="0" w:line="177" w:lineRule="exact"/>
        <w:rPr>
          <w:sz w:val="20"/>
          <w:szCs w:val="20"/>
          <w:color w:val="auto"/>
        </w:rPr>
      </w:pPr>
    </w:p>
    <w:p>
      <w:pPr>
        <w:ind w:left="800" w:right="20"/>
        <w:spacing w:after="0" w:line="245" w:lineRule="auto"/>
        <w:rPr>
          <w:sz w:val="20"/>
          <w:szCs w:val="20"/>
          <w:color w:val="auto"/>
        </w:rPr>
      </w:pPr>
      <w:r>
        <w:rPr>
          <w:rFonts w:ascii="Arial" w:cs="Arial" w:eastAsia="Arial" w:hAnsi="Arial"/>
          <w:sz w:val="16"/>
          <w:szCs w:val="16"/>
          <w:color w:val="auto"/>
        </w:rPr>
        <w:t>If you are an employee of the Company or an affiliate who is a participant in the RSP or who has outstanding stock options, with an internal Company e-mail address as of the record date, you should have received e-mail notice of electronic access to the Notice of Annual Meeting, this proxy statement and the 2021 Annual Report to Shareholders on or about December 15, 2021. You may request a paper copy of these materials by contacting the Corporate Secretary’s Office. If you do not have an internal Company e-mail address, paper copies of these materials were mailed to your home. Instructions on how to vote shares in your RSP account are contained in the e-mail notice or accompany the paper proxy materials mailed to you.</w:t>
      </w:r>
    </w:p>
    <w:p>
      <w:pPr>
        <w:spacing w:after="0" w:line="178" w:lineRule="exact"/>
        <w:rPr>
          <w:sz w:val="20"/>
          <w:szCs w:val="20"/>
          <w:color w:val="auto"/>
        </w:rPr>
      </w:pPr>
    </w:p>
    <w:p>
      <w:pPr>
        <w:jc w:val="both"/>
        <w:ind w:left="800" w:right="380"/>
        <w:spacing w:after="0" w:line="248" w:lineRule="auto"/>
        <w:rPr>
          <w:sz w:val="20"/>
          <w:szCs w:val="20"/>
          <w:color w:val="auto"/>
        </w:rPr>
      </w:pPr>
      <w:r>
        <w:rPr>
          <w:rFonts w:ascii="Arial" w:cs="Arial" w:eastAsia="Arial" w:hAnsi="Arial"/>
          <w:sz w:val="16"/>
          <w:szCs w:val="16"/>
          <w:color w:val="auto"/>
        </w:rPr>
        <w:t>If you have employee stock options awarded to you by the Company or an affiliate but do not otherwise own any Company stock on the record date, you are not eligible to vote and will not receive a proxy card for voting. You are being furnished this proxy statement and the 2021 Annual Report to Shareholders for your information and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262255" cy="262255"/>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262255" cy="262255"/>
                    </a:xfrm>
                    <a:prstGeom prst="rect">
                      <a:avLst/>
                    </a:prstGeom>
                    <a:noFill/>
                  </pic:spPr>
                </pic:pic>
              </a:graphicData>
            </a:graphic>
          </wp:anchor>
        </w:drawing>
      </w:r>
    </w:p>
    <w:p>
      <w:pPr>
        <w:spacing w:after="0" w:line="208" w:lineRule="exact"/>
        <w:rPr>
          <w:sz w:val="20"/>
          <w:szCs w:val="20"/>
          <w:color w:val="auto"/>
        </w:rPr>
      </w:pPr>
    </w:p>
    <w:p>
      <w:pPr>
        <w:ind w:left="800"/>
        <w:spacing w:after="0"/>
        <w:rPr>
          <w:sz w:val="20"/>
          <w:szCs w:val="20"/>
          <w:color w:val="auto"/>
        </w:rPr>
      </w:pPr>
      <w:r>
        <w:rPr>
          <w:rFonts w:ascii="Arial" w:cs="Arial" w:eastAsia="Arial" w:hAnsi="Arial"/>
          <w:sz w:val="25"/>
          <w:szCs w:val="25"/>
          <w:color w:val="009844"/>
        </w:rPr>
        <w:t>What are the procedures for attending and participating in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163195</wp:posOffset>
            </wp:positionV>
            <wp:extent cx="262255" cy="262255"/>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262255" cy="262255"/>
                    </a:xfrm>
                    <a:prstGeom prst="rect">
                      <a:avLst/>
                    </a:prstGeom>
                    <a:noFill/>
                  </pic:spPr>
                </pic:pic>
              </a:graphicData>
            </a:graphic>
          </wp:anchor>
        </w:drawing>
      </w:r>
    </w:p>
    <w:p>
      <w:pPr>
        <w:spacing w:after="0" w:line="303" w:lineRule="exact"/>
        <w:rPr>
          <w:sz w:val="20"/>
          <w:szCs w:val="20"/>
          <w:color w:val="auto"/>
        </w:rPr>
      </w:pPr>
    </w:p>
    <w:p>
      <w:pPr>
        <w:ind w:left="800" w:right="20"/>
        <w:spacing w:after="0" w:line="276" w:lineRule="auto"/>
        <w:rPr>
          <w:sz w:val="20"/>
          <w:szCs w:val="20"/>
          <w:color w:val="auto"/>
        </w:rPr>
      </w:pPr>
      <w:r>
        <w:rPr>
          <w:rFonts w:ascii="Arial" w:cs="Arial" w:eastAsia="Arial" w:hAnsi="Arial"/>
          <w:sz w:val="15"/>
          <w:szCs w:val="15"/>
          <w:color w:val="auto"/>
        </w:rPr>
        <w:t xml:space="preserve">The Annual Meeting will be held virtually via a live audio webcast at </w:t>
      </w:r>
      <w:r>
        <w:rPr>
          <w:rFonts w:ascii="Arial" w:cs="Arial" w:eastAsia="Arial" w:hAnsi="Arial"/>
          <w:sz w:val="15"/>
          <w:szCs w:val="15"/>
          <w:i w:val="1"/>
          <w:iCs w:val="1"/>
          <w:color w:val="009844"/>
        </w:rPr>
        <w:t>www.virtualshareholdermeeting.com/APD2022</w:t>
      </w:r>
      <w:r>
        <w:rPr>
          <w:rFonts w:ascii="Arial" w:cs="Arial" w:eastAsia="Arial" w:hAnsi="Arial"/>
          <w:sz w:val="15"/>
          <w:szCs w:val="15"/>
          <w:color w:val="009844"/>
        </w:rPr>
        <w:t>.</w:t>
      </w:r>
      <w:r>
        <w:rPr>
          <w:rFonts w:ascii="Arial" w:cs="Arial" w:eastAsia="Arial" w:hAnsi="Arial"/>
          <w:sz w:val="15"/>
          <w:szCs w:val="15"/>
          <w:color w:val="auto"/>
        </w:rPr>
        <w:t xml:space="preserve"> To gain admission to and vote at the Annual Meeting, you must enter the 16-digit control number found next to the label “Control Number” on your Notice of Internet Availability, proxy card or voting instruction form or in the email sending you this proxy statement. If you are a beneficial shareholder, you may contact the bank, broker or other institution where you hold your account if you have questions about obtaining your control number and voting at the virtual meeting.</w:t>
      </w:r>
    </w:p>
    <w:p>
      <w:pPr>
        <w:spacing w:after="0" w:line="154" w:lineRule="exact"/>
        <w:rPr>
          <w:sz w:val="20"/>
          <w:szCs w:val="20"/>
          <w:color w:val="auto"/>
        </w:rPr>
      </w:pPr>
    </w:p>
    <w:p>
      <w:pPr>
        <w:jc w:val="both"/>
        <w:ind w:left="800" w:right="560"/>
        <w:spacing w:after="0" w:line="248" w:lineRule="auto"/>
        <w:rPr>
          <w:sz w:val="20"/>
          <w:szCs w:val="20"/>
          <w:color w:val="auto"/>
        </w:rPr>
      </w:pPr>
      <w:r>
        <w:rPr>
          <w:rFonts w:ascii="Arial" w:cs="Arial" w:eastAsia="Arial" w:hAnsi="Arial"/>
          <w:sz w:val="16"/>
          <w:szCs w:val="16"/>
          <w:color w:val="auto"/>
        </w:rPr>
        <w:t xml:space="preserve">The Annual Meeting will include a question and answer session. Questions may be submitted during the Annual Meeting through the virtual meeting website, </w:t>
      </w:r>
      <w:r>
        <w:rPr>
          <w:rFonts w:ascii="Arial" w:cs="Arial" w:eastAsia="Arial" w:hAnsi="Arial"/>
          <w:sz w:val="16"/>
          <w:szCs w:val="16"/>
          <w:i w:val="1"/>
          <w:iCs w:val="1"/>
          <w:color w:val="009844"/>
        </w:rPr>
        <w:t>www.virtualshareholdermeeting.com/APD2022</w:t>
      </w:r>
      <w:r>
        <w:rPr>
          <w:rFonts w:ascii="Arial" w:cs="Arial" w:eastAsia="Arial" w:hAnsi="Arial"/>
          <w:sz w:val="16"/>
          <w:szCs w:val="16"/>
          <w:color w:val="009844"/>
        </w:rPr>
        <w:t>.</w:t>
      </w:r>
      <w:r>
        <w:rPr>
          <w:rFonts w:ascii="Arial" w:cs="Arial" w:eastAsia="Arial" w:hAnsi="Arial"/>
          <w:sz w:val="16"/>
          <w:szCs w:val="16"/>
          <w:color w:val="auto"/>
        </w:rPr>
        <w:t xml:space="preserve"> If we receive substantially similar questions, we may group such questions together and provide a single response to avoid repetition and allow time for additional topics.</w:t>
      </w:r>
    </w:p>
    <w:p>
      <w:pPr>
        <w:spacing w:after="0" w:line="175" w:lineRule="exact"/>
        <w:rPr>
          <w:sz w:val="20"/>
          <w:szCs w:val="20"/>
          <w:color w:val="auto"/>
        </w:rPr>
      </w:pPr>
    </w:p>
    <w:p>
      <w:pPr>
        <w:ind w:left="800" w:right="180"/>
        <w:spacing w:after="0" w:line="248" w:lineRule="auto"/>
        <w:rPr>
          <w:sz w:val="20"/>
          <w:szCs w:val="20"/>
          <w:color w:val="auto"/>
        </w:rPr>
      </w:pPr>
      <w:r>
        <w:rPr>
          <w:rFonts w:ascii="Arial" w:cs="Arial" w:eastAsia="Arial" w:hAnsi="Arial"/>
          <w:sz w:val="16"/>
          <w:szCs w:val="16"/>
          <w:color w:val="auto"/>
        </w:rPr>
        <w:t xml:space="preserve">We encourage shareholders to log in to the virtual meeting website and access the webcast early, beginning approximately 15 minutes before the Annual Meeting’s 2:00 p.m. (Eastern) start time. If you experience technical difficulties, please contact the technical support telephone number posted on </w:t>
      </w:r>
      <w:r>
        <w:rPr>
          <w:rFonts w:ascii="Arial" w:cs="Arial" w:eastAsia="Arial" w:hAnsi="Arial"/>
          <w:sz w:val="16"/>
          <w:szCs w:val="16"/>
          <w:i w:val="1"/>
          <w:iCs w:val="1"/>
          <w:color w:val="009844"/>
        </w:rPr>
        <w:t>www.virtualshareholdermeeting.com/APD2022</w:t>
      </w:r>
      <w:r>
        <w:rPr>
          <w:rFonts w:ascii="Arial" w:cs="Arial" w:eastAsia="Arial" w:hAnsi="Arial"/>
          <w:sz w:val="16"/>
          <w:szCs w:val="16"/>
          <w:color w:val="009844"/>
        </w:rPr>
        <w:t>.</w:t>
      </w:r>
    </w:p>
    <w:p>
      <w:pPr>
        <w:spacing w:after="0" w:line="175" w:lineRule="exact"/>
        <w:rPr>
          <w:sz w:val="20"/>
          <w:szCs w:val="20"/>
          <w:color w:val="auto"/>
        </w:rPr>
      </w:pPr>
    </w:p>
    <w:p>
      <w:pPr>
        <w:ind w:left="800" w:right="300"/>
        <w:spacing w:after="0" w:line="248" w:lineRule="auto"/>
        <w:rPr>
          <w:sz w:val="20"/>
          <w:szCs w:val="20"/>
          <w:color w:val="auto"/>
        </w:rPr>
      </w:pPr>
      <w:r>
        <w:rPr>
          <w:rFonts w:ascii="Arial" w:cs="Arial" w:eastAsia="Arial" w:hAnsi="Arial"/>
          <w:sz w:val="16"/>
          <w:szCs w:val="16"/>
          <w:color w:val="auto"/>
        </w:rPr>
        <w:t>Whether or not you choose to participate in the Annual Meeting, it is important that your shares be part of the voting process. In addition, even if you plan to attend the Annual Meeting, we encourage you to return your proxy card or provide your bank, broker or other institution with voting instructions before the Annual Meeting in order to ensure that your shares are represented.</w:t>
      </w:r>
    </w:p>
    <w:p>
      <w:pPr>
        <w:spacing w:after="0" w:line="16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4"/>
          <w:szCs w:val="14"/>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7155180" cy="20955"/>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262255" cy="262255"/>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262255" cy="262255"/>
                    </a:xfrm>
                    <a:prstGeom prst="rect">
                      <a:avLst/>
                    </a:prstGeom>
                    <a:noFill/>
                  </pic:spPr>
                </pic:pic>
              </a:graphicData>
            </a:graphic>
          </wp:anchor>
        </w:drawing>
      </w:r>
    </w:p>
    <w:p>
      <w:pPr>
        <w:spacing w:after="0" w:line="267" w:lineRule="exact"/>
        <w:rPr>
          <w:sz w:val="20"/>
          <w:szCs w:val="20"/>
          <w:color w:val="auto"/>
        </w:rPr>
      </w:pPr>
    </w:p>
    <w:p>
      <w:pPr>
        <w:ind w:left="800" w:right="280"/>
        <w:spacing w:after="0" w:line="253" w:lineRule="auto"/>
        <w:rPr>
          <w:sz w:val="20"/>
          <w:szCs w:val="20"/>
          <w:color w:val="auto"/>
        </w:rPr>
      </w:pPr>
      <w:r>
        <w:rPr>
          <w:rFonts w:ascii="Arial" w:cs="Arial" w:eastAsia="Arial" w:hAnsi="Arial"/>
          <w:sz w:val="25"/>
          <w:szCs w:val="25"/>
          <w:color w:val="009844"/>
        </w:rPr>
        <w:t>How can I reach the Company to request materials or information referred to in these 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121285</wp:posOffset>
            </wp:positionV>
            <wp:extent cx="262255" cy="262255"/>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262255" cy="262255"/>
                    </a:xfrm>
                    <a:prstGeom prst="rect">
                      <a:avLst/>
                    </a:prstGeom>
                    <a:noFill/>
                  </pic:spPr>
                </pic:pic>
              </a:graphicData>
            </a:graphic>
          </wp:anchor>
        </w:drawing>
      </w:r>
    </w:p>
    <w:p>
      <w:pPr>
        <w:spacing w:after="0" w:line="253" w:lineRule="exact"/>
        <w:rPr>
          <w:sz w:val="20"/>
          <w:szCs w:val="20"/>
          <w:color w:val="auto"/>
        </w:rPr>
      </w:pPr>
    </w:p>
    <w:p>
      <w:pPr>
        <w:ind w:left="800"/>
        <w:spacing w:after="0" w:line="254" w:lineRule="auto"/>
        <w:rPr>
          <w:sz w:val="20"/>
          <w:szCs w:val="20"/>
          <w:color w:val="auto"/>
        </w:rPr>
      </w:pPr>
      <w:r>
        <w:rPr>
          <w:rFonts w:ascii="Arial" w:cs="Arial" w:eastAsia="Arial" w:hAnsi="Arial"/>
          <w:sz w:val="16"/>
          <w:szCs w:val="16"/>
          <w:color w:val="auto"/>
        </w:rPr>
        <w:t>You may order a copy of our Annual Report on Form 10-K for the fiscal year ended September 30, 2021, free of charge, or request other information by mail addressed to:</w:t>
      </w:r>
    </w:p>
    <w:p>
      <w:pPr>
        <w:spacing w:after="0" w:line="223"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Corporate Secretary’s Office</w:t>
      </w:r>
    </w:p>
    <w:p>
      <w:pPr>
        <w:spacing w:after="0" w:line="29"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Air Products and Chemicals, Inc.</w:t>
      </w:r>
    </w:p>
    <w:p>
      <w:pPr>
        <w:spacing w:after="0" w:line="29"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1940 Air Products Boulevard</w:t>
      </w:r>
    </w:p>
    <w:p>
      <w:pPr>
        <w:spacing w:after="0" w:line="29"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Allentown, PA 18106-5500,</w:t>
      </w:r>
    </w:p>
    <w:p>
      <w:pPr>
        <w:spacing w:after="0" w:line="199" w:lineRule="exact"/>
        <w:rPr>
          <w:sz w:val="20"/>
          <w:szCs w:val="20"/>
          <w:color w:val="auto"/>
        </w:rPr>
      </w:pPr>
    </w:p>
    <w:p>
      <w:pPr>
        <w:ind w:left="800" w:right="460"/>
        <w:spacing w:after="0" w:line="275" w:lineRule="auto"/>
        <w:rPr>
          <w:sz w:val="20"/>
          <w:szCs w:val="20"/>
          <w:color w:val="auto"/>
        </w:rPr>
      </w:pPr>
      <w:r>
        <w:rPr>
          <w:rFonts w:ascii="Arial" w:cs="Arial" w:eastAsia="Arial" w:hAnsi="Arial"/>
          <w:sz w:val="16"/>
          <w:szCs w:val="16"/>
          <w:color w:val="auto"/>
        </w:rPr>
        <w:t xml:space="preserve">or by calling 610-481-4880. This information is also available free of charge on the SEC’s website, </w:t>
      </w:r>
      <w:r>
        <w:rPr>
          <w:rFonts w:ascii="Arial" w:cs="Arial" w:eastAsia="Arial" w:hAnsi="Arial"/>
          <w:sz w:val="16"/>
          <w:szCs w:val="16"/>
          <w:i w:val="1"/>
          <w:iCs w:val="1"/>
          <w:color w:val="009844"/>
        </w:rPr>
        <w:t>www.sec.gov</w:t>
      </w:r>
      <w:r>
        <w:rPr>
          <w:rFonts w:ascii="Arial" w:cs="Arial" w:eastAsia="Arial" w:hAnsi="Arial"/>
          <w:sz w:val="16"/>
          <w:szCs w:val="16"/>
          <w:color w:val="009844"/>
        </w:rPr>
        <w:t>,</w:t>
      </w:r>
      <w:r>
        <w:rPr>
          <w:rFonts w:ascii="Arial" w:cs="Arial" w:eastAsia="Arial" w:hAnsi="Arial"/>
          <w:sz w:val="16"/>
          <w:szCs w:val="16"/>
          <w:color w:val="auto"/>
        </w:rPr>
        <w:t xml:space="preserve"> and our website, </w:t>
      </w:r>
      <w:r>
        <w:rPr>
          <w:rFonts w:ascii="Arial" w:cs="Arial" w:eastAsia="Arial" w:hAnsi="Arial"/>
          <w:sz w:val="16"/>
          <w:szCs w:val="16"/>
          <w:i w:val="1"/>
          <w:iCs w:val="1"/>
          <w:color w:val="009844"/>
        </w:rPr>
        <w:t>www.airproducts.com</w:t>
      </w:r>
      <w:r>
        <w:rPr>
          <w:rFonts w:ascii="Arial" w:cs="Arial" w:eastAsia="Arial" w:hAnsi="Arial"/>
          <w:sz w:val="16"/>
          <w:szCs w:val="16"/>
          <w:color w:val="00984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189230</wp:posOffset>
            </wp:positionV>
            <wp:extent cx="845185" cy="202565"/>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845185" cy="20256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7155180" cy="20955"/>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0420"/>
          </w:cols>
          <w:pgMar w:left="320" w:top="140" w:right="11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35"/>
          <w:szCs w:val="35"/>
          <w:b w:val="1"/>
          <w:bCs w:val="1"/>
          <w:color w:val="009A4B"/>
        </w:rPr>
        <w:t>Appendix A</w:t>
      </w:r>
    </w:p>
    <w:p>
      <w:pPr>
        <w:spacing w:after="0" w:line="265" w:lineRule="exact"/>
        <w:rPr>
          <w:sz w:val="20"/>
          <w:szCs w:val="20"/>
          <w:color w:val="auto"/>
        </w:rPr>
      </w:pPr>
    </w:p>
    <w:p>
      <w:pPr>
        <w:spacing w:after="0"/>
        <w:rPr>
          <w:sz w:val="20"/>
          <w:szCs w:val="20"/>
          <w:color w:val="auto"/>
        </w:rPr>
      </w:pPr>
      <w:r>
        <w:rPr>
          <w:rFonts w:ascii="Arial" w:cs="Arial" w:eastAsia="Arial" w:hAnsi="Arial"/>
          <w:sz w:val="28"/>
          <w:szCs w:val="28"/>
          <w:color w:val="009A4B"/>
        </w:rPr>
        <w:t>Reconciliation of Non-GAAP Financial Measures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(Millions of dollars unless otherwise indicated, except for per share data)</w:t>
      </w:r>
    </w:p>
    <w:p>
      <w:pPr>
        <w:spacing w:after="0" w:line="182"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We present certain financial measures, other than in accordance with United States generally accepted accounting principles (“GAAP”), on an “adjusted” or “non-GAAP” basis. These measures include adjusted diluted earnings per share (“EPS”) and adjusted EBITDA. For each non-GAAP financial measure, we present below a reconciliation to the most directly comparable financial measure calculated in accordance with GAAP. These reconciliations are presented on a continuing operations basis.</w:t>
      </w:r>
    </w:p>
    <w:p>
      <w:pPr>
        <w:spacing w:after="0" w:line="151"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Our non-GAAP financial measures are not meant to be considered in isolation or as a substitute for the most directly comparable measure calculated in accordance with GAAP. We believe these non-GAAP financial measures provide investors, potential investors, securities analysts and others with useful information to evaluate the performance of our business because such measures, when viewed together with financial results computed in accordance with GAAP, provide a more complete understanding of the factors and trends affecting our historical financial performance and projected future results.</w:t>
      </w:r>
    </w:p>
    <w:p>
      <w:pPr>
        <w:spacing w:after="0" w:line="151" w:lineRule="exact"/>
        <w:rPr>
          <w:sz w:val="20"/>
          <w:szCs w:val="20"/>
          <w:color w:val="auto"/>
        </w:rPr>
      </w:pPr>
    </w:p>
    <w:p>
      <w:pPr>
        <w:ind w:right="120"/>
        <w:spacing w:after="0" w:line="245" w:lineRule="auto"/>
        <w:rPr>
          <w:sz w:val="20"/>
          <w:szCs w:val="20"/>
          <w:color w:val="auto"/>
        </w:rPr>
      </w:pPr>
      <w:r>
        <w:rPr>
          <w:rFonts w:ascii="Arial" w:cs="Arial" w:eastAsia="Arial" w:hAnsi="Arial"/>
          <w:sz w:val="16"/>
          <w:szCs w:val="16"/>
          <w:color w:val="auto"/>
        </w:rPr>
        <w:t>In many cases, non-GAAP financial measures are determined by adjusting the most directly comparable GAAP measure to exclude non-GAAP adjustments that we believe are not representative of our underlying business performance. For example, we previously excluded certain expenses associated with cost reduction actions, impairment charges and gains on disclosed transactions. The reader should be aware that we may recognize similar losses or gains in the future. Readers should also consider the limitations associated with these non-GAAP financial measures, including the potential lack of comparability of these measures from one company to another.</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color w:val="009A4B"/>
        </w:rPr>
        <w:t>Adjusted Diluted Earnings per Share (“EPS”)</w:t>
      </w:r>
    </w:p>
    <w:p>
      <w:pPr>
        <w:spacing w:after="0" w:line="219"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Adjusted diluted EPS is calculated as net income from continuing operations attributable to Air Products, excluding the impact of certain disclosed items that we believe are not representative of underlying business performance, divided by the weighted average common shares reflecting the potential dilution that could occur if stock options or other share-based awards were exercised or converted into common stock. We view adjusted diluted EPS as a key performance metric, which is used to assess performance under our incentive compensation program, among other uses. The per share impact of each non-GAAP adjustment was calculated independently and may not sum to total adjusted diluted EPS due to rounding.</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Year Ended 30 September</w:t>
            </w:r>
          </w:p>
        </w:tc>
        <w:tc>
          <w:tcPr>
            <w:tcW w:w="37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2020</w:t>
            </w:r>
          </w:p>
        </w:tc>
      </w:tr>
      <w:tr>
        <w:trPr>
          <w:trHeight w:val="233"/>
        </w:trPr>
        <w:tc>
          <w:tcPr>
            <w:tcW w:w="6760" w:type="dxa"/>
            <w:vAlign w:val="bottom"/>
            <w:tcBorders>
              <w:bottom w:val="single" w:sz="8" w:color="949599"/>
            </w:tcBorders>
          </w:tcPr>
          <w:p>
            <w:pPr>
              <w:ind w:left="60"/>
              <w:spacing w:after="0"/>
              <w:rPr>
                <w:sz w:val="20"/>
                <w:szCs w:val="20"/>
                <w:color w:val="auto"/>
              </w:rPr>
            </w:pPr>
            <w:r>
              <w:rPr>
                <w:rFonts w:ascii="Arial" w:cs="Arial" w:eastAsia="Arial" w:hAnsi="Arial"/>
                <w:sz w:val="16"/>
                <w:szCs w:val="16"/>
                <w:b w:val="1"/>
                <w:bCs w:val="1"/>
                <w:color w:val="auto"/>
              </w:rPr>
              <w:t>Diluted EPS</w:t>
            </w:r>
          </w:p>
        </w:tc>
        <w:tc>
          <w:tcPr>
            <w:tcW w:w="3760" w:type="dxa"/>
            <w:vAlign w:val="bottom"/>
            <w:tcBorders>
              <w:bottom w:val="single" w:sz="8" w:color="949599"/>
            </w:tcBorders>
          </w:tcPr>
          <w:p>
            <w:pPr>
              <w:jc w:val="right"/>
              <w:ind w:right="201"/>
              <w:spacing w:after="0"/>
              <w:rPr>
                <w:sz w:val="20"/>
                <w:szCs w:val="20"/>
                <w:color w:val="auto"/>
              </w:rPr>
            </w:pPr>
            <w:r>
              <w:rPr>
                <w:rFonts w:ascii="Arial" w:cs="Arial" w:eastAsia="Arial" w:hAnsi="Arial"/>
                <w:sz w:val="16"/>
                <w:szCs w:val="16"/>
                <w:color w:val="auto"/>
              </w:rPr>
              <w:t>$ 9.12</w:t>
            </w:r>
          </w:p>
        </w:tc>
        <w:tc>
          <w:tcPr>
            <w:tcW w:w="720" w:type="dxa"/>
            <w:vAlign w:val="bottom"/>
            <w:tcBorders>
              <w:bottom w:val="single" w:sz="8" w:color="949599"/>
            </w:tcBorders>
          </w:tcPr>
          <w:p>
            <w:pPr>
              <w:jc w:val="right"/>
              <w:ind w:right="21"/>
              <w:spacing w:after="0"/>
              <w:rPr>
                <w:sz w:val="20"/>
                <w:szCs w:val="20"/>
                <w:color w:val="auto"/>
              </w:rPr>
            </w:pPr>
            <w:r>
              <w:rPr>
                <w:rFonts w:ascii="Arial" w:cs="Arial" w:eastAsia="Arial" w:hAnsi="Arial"/>
                <w:sz w:val="16"/>
                <w:szCs w:val="16"/>
                <w:color w:val="auto"/>
              </w:rPr>
              <w:t>$ 8.55</w:t>
            </w:r>
          </w:p>
        </w:tc>
      </w:tr>
      <w:tr>
        <w:trPr>
          <w:trHeight w:val="233"/>
        </w:trPr>
        <w:tc>
          <w:tcPr>
            <w:tcW w:w="6760" w:type="dxa"/>
            <w:vAlign w:val="bottom"/>
            <w:tcBorders>
              <w:bottom w:val="single" w:sz="8" w:color="949599"/>
            </w:tcBorders>
          </w:tcPr>
          <w:p>
            <w:pPr>
              <w:ind w:left="60"/>
              <w:spacing w:after="0"/>
              <w:rPr>
                <w:sz w:val="20"/>
                <w:szCs w:val="20"/>
                <w:color w:val="auto"/>
              </w:rPr>
            </w:pPr>
            <w:r>
              <w:rPr>
                <w:rFonts w:ascii="Arial" w:cs="Arial" w:eastAsia="Arial" w:hAnsi="Arial"/>
                <w:sz w:val="16"/>
                <w:szCs w:val="16"/>
                <w:color w:val="auto"/>
              </w:rPr>
              <w:t>Facility closure</w:t>
            </w:r>
          </w:p>
        </w:tc>
        <w:tc>
          <w:tcPr>
            <w:tcW w:w="3760" w:type="dxa"/>
            <w:vAlign w:val="bottom"/>
            <w:tcBorders>
              <w:bottom w:val="single" w:sz="8" w:color="949599"/>
            </w:tcBorders>
          </w:tcPr>
          <w:p>
            <w:pPr>
              <w:jc w:val="right"/>
              <w:ind w:right="201"/>
              <w:spacing w:after="0"/>
              <w:rPr>
                <w:sz w:val="20"/>
                <w:szCs w:val="20"/>
                <w:color w:val="auto"/>
              </w:rPr>
            </w:pPr>
            <w:r>
              <w:rPr>
                <w:rFonts w:ascii="Arial" w:cs="Arial" w:eastAsia="Arial" w:hAnsi="Arial"/>
                <w:sz w:val="16"/>
                <w:szCs w:val="16"/>
                <w:color w:val="auto"/>
              </w:rPr>
              <w:t>0.08</w:t>
            </w:r>
          </w:p>
        </w:tc>
        <w:tc>
          <w:tcPr>
            <w:tcW w:w="720" w:type="dxa"/>
            <w:vAlign w:val="bottom"/>
            <w:tcBorders>
              <w:bottom w:val="single" w:sz="8" w:color="949599"/>
            </w:tcBorders>
          </w:tcPr>
          <w:p>
            <w:pPr>
              <w:jc w:val="right"/>
              <w:ind w:right="21"/>
              <w:spacing w:after="0"/>
              <w:rPr>
                <w:sz w:val="20"/>
                <w:szCs w:val="20"/>
                <w:color w:val="auto"/>
              </w:rPr>
            </w:pPr>
            <w:r>
              <w:rPr>
                <w:rFonts w:ascii="Arial" w:cs="Arial" w:eastAsia="Arial" w:hAnsi="Arial"/>
                <w:sz w:val="16"/>
                <w:szCs w:val="16"/>
                <w:color w:val="auto"/>
              </w:rPr>
              <w:t>—</w:t>
            </w:r>
          </w:p>
        </w:tc>
      </w:tr>
      <w:tr>
        <w:trPr>
          <w:trHeight w:val="233"/>
        </w:trPr>
        <w:tc>
          <w:tcPr>
            <w:tcW w:w="6760" w:type="dxa"/>
            <w:vAlign w:val="bottom"/>
            <w:tcBorders>
              <w:bottom w:val="single" w:sz="8" w:color="949599"/>
            </w:tcBorders>
          </w:tcPr>
          <w:p>
            <w:pPr>
              <w:ind w:left="60"/>
              <w:spacing w:after="0"/>
              <w:rPr>
                <w:sz w:val="20"/>
                <w:szCs w:val="20"/>
                <w:color w:val="auto"/>
              </w:rPr>
            </w:pPr>
            <w:r>
              <w:rPr>
                <w:rFonts w:ascii="Arial" w:cs="Arial" w:eastAsia="Arial" w:hAnsi="Arial"/>
                <w:sz w:val="16"/>
                <w:szCs w:val="16"/>
                <w:color w:val="auto"/>
              </w:rPr>
              <w:t>Gain on exchange with joint venture partner</w:t>
            </w:r>
          </w:p>
        </w:tc>
        <w:tc>
          <w:tcPr>
            <w:tcW w:w="3760" w:type="dxa"/>
            <w:vAlign w:val="bottom"/>
            <w:tcBorders>
              <w:bottom w:val="single" w:sz="8" w:color="949599"/>
            </w:tcBorders>
          </w:tcPr>
          <w:p>
            <w:pPr>
              <w:jc w:val="right"/>
              <w:ind w:right="161"/>
              <w:spacing w:after="0"/>
              <w:rPr>
                <w:sz w:val="20"/>
                <w:szCs w:val="20"/>
                <w:color w:val="auto"/>
              </w:rPr>
            </w:pPr>
            <w:r>
              <w:rPr>
                <w:rFonts w:ascii="Arial" w:cs="Arial" w:eastAsia="Arial" w:hAnsi="Arial"/>
                <w:sz w:val="16"/>
                <w:szCs w:val="16"/>
                <w:color w:val="auto"/>
              </w:rPr>
              <w:t>(0.12)</w:t>
            </w:r>
          </w:p>
        </w:tc>
        <w:tc>
          <w:tcPr>
            <w:tcW w:w="720" w:type="dxa"/>
            <w:vAlign w:val="bottom"/>
            <w:tcBorders>
              <w:bottom w:val="single" w:sz="8" w:color="949599"/>
            </w:tcBorders>
          </w:tcPr>
          <w:p>
            <w:pPr>
              <w:jc w:val="right"/>
              <w:ind w:right="21"/>
              <w:spacing w:after="0"/>
              <w:rPr>
                <w:sz w:val="20"/>
                <w:szCs w:val="20"/>
                <w:color w:val="auto"/>
              </w:rPr>
            </w:pPr>
            <w:r>
              <w:rPr>
                <w:rFonts w:ascii="Arial" w:cs="Arial" w:eastAsia="Arial" w:hAnsi="Arial"/>
                <w:sz w:val="16"/>
                <w:szCs w:val="16"/>
                <w:color w:val="auto"/>
              </w:rPr>
              <w:t>—</w:t>
            </w:r>
          </w:p>
        </w:tc>
      </w:tr>
      <w:tr>
        <w:trPr>
          <w:trHeight w:val="233"/>
        </w:trPr>
        <w:tc>
          <w:tcPr>
            <w:tcW w:w="6760" w:type="dxa"/>
            <w:vAlign w:val="bottom"/>
            <w:tcBorders>
              <w:bottom w:val="single" w:sz="8" w:color="949599"/>
            </w:tcBorders>
          </w:tcPr>
          <w:p>
            <w:pPr>
              <w:ind w:left="60"/>
              <w:spacing w:after="0"/>
              <w:rPr>
                <w:sz w:val="20"/>
                <w:szCs w:val="20"/>
                <w:color w:val="auto"/>
              </w:rPr>
            </w:pPr>
            <w:r>
              <w:rPr>
                <w:rFonts w:ascii="Arial" w:cs="Arial" w:eastAsia="Arial" w:hAnsi="Arial"/>
                <w:sz w:val="16"/>
                <w:szCs w:val="16"/>
                <w:color w:val="auto"/>
              </w:rPr>
              <w:t>Company headquarters relocation (income) expense</w:t>
            </w:r>
          </w:p>
        </w:tc>
        <w:tc>
          <w:tcPr>
            <w:tcW w:w="3760" w:type="dxa"/>
            <w:vAlign w:val="bottom"/>
            <w:tcBorders>
              <w:bottom w:val="single" w:sz="8" w:color="949599"/>
            </w:tcBorders>
          </w:tcPr>
          <w:p>
            <w:pPr>
              <w:jc w:val="right"/>
              <w:ind w:right="221"/>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(0.12)</w:t>
            </w:r>
          </w:p>
        </w:tc>
      </w:tr>
      <w:tr>
        <w:trPr>
          <w:trHeight w:val="233"/>
        </w:trPr>
        <w:tc>
          <w:tcPr>
            <w:tcW w:w="6760" w:type="dxa"/>
            <w:vAlign w:val="bottom"/>
            <w:tcBorders>
              <w:bottom w:val="single" w:sz="8" w:color="949599"/>
            </w:tcBorders>
          </w:tcPr>
          <w:p>
            <w:pPr>
              <w:ind w:left="60"/>
              <w:spacing w:after="0"/>
              <w:rPr>
                <w:sz w:val="20"/>
                <w:szCs w:val="20"/>
                <w:color w:val="auto"/>
              </w:rPr>
            </w:pPr>
            <w:r>
              <w:rPr>
                <w:rFonts w:ascii="Arial" w:cs="Arial" w:eastAsia="Arial" w:hAnsi="Arial"/>
                <w:sz w:val="16"/>
                <w:szCs w:val="16"/>
                <w:color w:val="auto"/>
              </w:rPr>
              <w:t>India Finance Act 2020</w:t>
            </w:r>
          </w:p>
        </w:tc>
        <w:tc>
          <w:tcPr>
            <w:tcW w:w="3760" w:type="dxa"/>
            <w:vAlign w:val="bottom"/>
            <w:tcBorders>
              <w:bottom w:val="single" w:sz="8" w:color="949599"/>
            </w:tcBorders>
          </w:tcPr>
          <w:p>
            <w:pPr>
              <w:jc w:val="right"/>
              <w:ind w:right="221"/>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(0.06)</w:t>
            </w:r>
          </w:p>
        </w:tc>
      </w:tr>
      <w:tr>
        <w:trPr>
          <w:trHeight w:val="246"/>
        </w:trPr>
        <w:tc>
          <w:tcPr>
            <w:tcW w:w="67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Tax election benefit and other</w:t>
            </w:r>
          </w:p>
        </w:tc>
        <w:tc>
          <w:tcPr>
            <w:tcW w:w="37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(0.05)</w:t>
            </w:r>
          </w:p>
        </w:tc>
        <w:tc>
          <w:tcPr>
            <w:tcW w:w="7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r>
      <w:tr>
        <w:trPr>
          <w:trHeight w:val="246"/>
        </w:trPr>
        <w:tc>
          <w:tcPr>
            <w:tcW w:w="67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Adjusted Diluted EPS</w:t>
            </w:r>
          </w:p>
        </w:tc>
        <w:tc>
          <w:tcPr>
            <w:tcW w:w="37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$ 9.02</w:t>
            </w:r>
          </w:p>
        </w:tc>
        <w:tc>
          <w:tcPr>
            <w:tcW w:w="7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$ 8.38</w:t>
            </w:r>
          </w:p>
        </w:tc>
      </w:tr>
      <w:tr>
        <w:trPr>
          <w:trHeight w:val="233"/>
        </w:trPr>
        <w:tc>
          <w:tcPr>
            <w:tcW w:w="6760" w:type="dxa"/>
            <w:vAlign w:val="bottom"/>
            <w:tcBorders>
              <w:bottom w:val="single" w:sz="8" w:color="949599"/>
            </w:tcBorders>
          </w:tcPr>
          <w:p>
            <w:pPr>
              <w:ind w:left="60"/>
              <w:spacing w:after="0"/>
              <w:rPr>
                <w:sz w:val="20"/>
                <w:szCs w:val="20"/>
                <w:color w:val="auto"/>
              </w:rPr>
            </w:pPr>
            <w:r>
              <w:rPr>
                <w:rFonts w:ascii="Arial" w:cs="Arial" w:eastAsia="Arial" w:hAnsi="Arial"/>
                <w:sz w:val="16"/>
                <w:szCs w:val="16"/>
                <w:b w:val="1"/>
                <w:bCs w:val="1"/>
                <w:color w:val="auto"/>
              </w:rPr>
              <w:t>Change GAAP versus prior year</w:t>
            </w:r>
          </w:p>
        </w:tc>
        <w:tc>
          <w:tcPr>
            <w:tcW w:w="3760" w:type="dxa"/>
            <w:vAlign w:val="bottom"/>
            <w:tcBorders>
              <w:bottom w:val="single" w:sz="8" w:color="949599"/>
            </w:tcBorders>
          </w:tcPr>
          <w:p>
            <w:pPr>
              <w:spacing w:after="0"/>
              <w:rPr>
                <w:sz w:val="20"/>
                <w:szCs w:val="20"/>
                <w:color w:val="auto"/>
              </w:rPr>
            </w:pPr>
          </w:p>
        </w:tc>
        <w:tc>
          <w:tcPr>
            <w:tcW w:w="720" w:type="dxa"/>
            <w:vAlign w:val="bottom"/>
            <w:tcBorders>
              <w:bottom w:val="single" w:sz="8" w:color="949599"/>
            </w:tcBorders>
          </w:tcPr>
          <w:p>
            <w:pPr>
              <w:spacing w:after="0"/>
              <w:rPr>
                <w:sz w:val="20"/>
                <w:szCs w:val="20"/>
                <w:color w:val="auto"/>
              </w:rPr>
            </w:pPr>
          </w:p>
        </w:tc>
      </w:tr>
      <w:tr>
        <w:trPr>
          <w:trHeight w:val="233"/>
        </w:trPr>
        <w:tc>
          <w:tcPr>
            <w:tcW w:w="6760" w:type="dxa"/>
            <w:vAlign w:val="bottom"/>
            <w:tcBorders>
              <w:bottom w:val="single" w:sz="8" w:color="949599"/>
            </w:tcBorders>
          </w:tcPr>
          <w:p>
            <w:pPr>
              <w:ind w:left="180"/>
              <w:spacing w:after="0"/>
              <w:rPr>
                <w:sz w:val="20"/>
                <w:szCs w:val="20"/>
                <w:color w:val="auto"/>
              </w:rPr>
            </w:pPr>
            <w:r>
              <w:rPr>
                <w:rFonts w:ascii="Arial" w:cs="Arial" w:eastAsia="Arial" w:hAnsi="Arial"/>
                <w:sz w:val="16"/>
                <w:szCs w:val="16"/>
                <w:color w:val="auto"/>
              </w:rPr>
              <w:t>Diluted EPS $ change</w:t>
            </w:r>
          </w:p>
        </w:tc>
        <w:tc>
          <w:tcPr>
            <w:tcW w:w="3760" w:type="dxa"/>
            <w:vAlign w:val="bottom"/>
            <w:tcBorders>
              <w:bottom w:val="single" w:sz="8" w:color="949599"/>
            </w:tcBorders>
          </w:tcPr>
          <w:p>
            <w:pPr>
              <w:jc w:val="right"/>
              <w:ind w:right="201"/>
              <w:spacing w:after="0"/>
              <w:rPr>
                <w:sz w:val="20"/>
                <w:szCs w:val="20"/>
                <w:color w:val="auto"/>
              </w:rPr>
            </w:pPr>
            <w:r>
              <w:rPr>
                <w:rFonts w:ascii="Arial" w:cs="Arial" w:eastAsia="Arial" w:hAnsi="Arial"/>
                <w:sz w:val="16"/>
                <w:szCs w:val="16"/>
                <w:color w:val="auto"/>
              </w:rPr>
              <w:t>$ 0.57</w:t>
            </w:r>
          </w:p>
        </w:tc>
        <w:tc>
          <w:tcPr>
            <w:tcW w:w="720" w:type="dxa"/>
            <w:vAlign w:val="bottom"/>
            <w:tcBorders>
              <w:bottom w:val="single" w:sz="8" w:color="949599"/>
            </w:tcBorders>
          </w:tcPr>
          <w:p>
            <w:pPr>
              <w:spacing w:after="0"/>
              <w:rPr>
                <w:sz w:val="20"/>
                <w:szCs w:val="20"/>
                <w:color w:val="auto"/>
              </w:rPr>
            </w:pPr>
          </w:p>
        </w:tc>
      </w:tr>
      <w:tr>
        <w:trPr>
          <w:trHeight w:val="246"/>
        </w:trPr>
        <w:tc>
          <w:tcPr>
            <w:tcW w:w="67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Diluted EPS % change</w:t>
            </w:r>
          </w:p>
        </w:tc>
        <w:tc>
          <w:tcPr>
            <w:tcW w:w="37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7%</w:t>
            </w:r>
          </w:p>
        </w:tc>
        <w:tc>
          <w:tcPr>
            <w:tcW w:w="720" w:type="dxa"/>
            <w:vAlign w:val="bottom"/>
            <w:tcBorders>
              <w:bottom w:val="single" w:sz="8" w:color="auto"/>
            </w:tcBorders>
          </w:tcPr>
          <w:p>
            <w:pPr>
              <w:spacing w:after="0"/>
              <w:rPr>
                <w:sz w:val="21"/>
                <w:szCs w:val="21"/>
                <w:color w:val="auto"/>
              </w:rPr>
            </w:pPr>
          </w:p>
        </w:tc>
      </w:tr>
      <w:tr>
        <w:trPr>
          <w:trHeight w:val="233"/>
        </w:trPr>
        <w:tc>
          <w:tcPr>
            <w:tcW w:w="6760" w:type="dxa"/>
            <w:vAlign w:val="bottom"/>
            <w:tcBorders>
              <w:bottom w:val="single" w:sz="8" w:color="949599"/>
            </w:tcBorders>
          </w:tcPr>
          <w:p>
            <w:pPr>
              <w:ind w:left="60"/>
              <w:spacing w:after="0"/>
              <w:rPr>
                <w:sz w:val="20"/>
                <w:szCs w:val="20"/>
                <w:color w:val="auto"/>
              </w:rPr>
            </w:pPr>
            <w:r>
              <w:rPr>
                <w:rFonts w:ascii="Arial" w:cs="Arial" w:eastAsia="Arial" w:hAnsi="Arial"/>
                <w:sz w:val="16"/>
                <w:szCs w:val="16"/>
                <w:b w:val="1"/>
                <w:bCs w:val="1"/>
                <w:color w:val="auto"/>
              </w:rPr>
              <w:t>Change Non-GAAP versus prior year</w:t>
            </w:r>
          </w:p>
        </w:tc>
        <w:tc>
          <w:tcPr>
            <w:tcW w:w="3760" w:type="dxa"/>
            <w:vAlign w:val="bottom"/>
            <w:tcBorders>
              <w:bottom w:val="single" w:sz="8" w:color="949599"/>
            </w:tcBorders>
          </w:tcPr>
          <w:p>
            <w:pPr>
              <w:spacing w:after="0"/>
              <w:rPr>
                <w:sz w:val="20"/>
                <w:szCs w:val="20"/>
                <w:color w:val="auto"/>
              </w:rPr>
            </w:pPr>
          </w:p>
        </w:tc>
        <w:tc>
          <w:tcPr>
            <w:tcW w:w="720" w:type="dxa"/>
            <w:vAlign w:val="bottom"/>
            <w:tcBorders>
              <w:bottom w:val="single" w:sz="8" w:color="949599"/>
            </w:tcBorders>
          </w:tcPr>
          <w:p>
            <w:pPr>
              <w:spacing w:after="0"/>
              <w:rPr>
                <w:sz w:val="20"/>
                <w:szCs w:val="20"/>
                <w:color w:val="auto"/>
              </w:rPr>
            </w:pPr>
          </w:p>
        </w:tc>
      </w:tr>
      <w:tr>
        <w:trPr>
          <w:trHeight w:val="233"/>
        </w:trPr>
        <w:tc>
          <w:tcPr>
            <w:tcW w:w="6760" w:type="dxa"/>
            <w:vAlign w:val="bottom"/>
            <w:tcBorders>
              <w:bottom w:val="single" w:sz="8" w:color="949599"/>
            </w:tcBorders>
          </w:tcPr>
          <w:p>
            <w:pPr>
              <w:ind w:left="180"/>
              <w:spacing w:after="0"/>
              <w:rPr>
                <w:sz w:val="20"/>
                <w:szCs w:val="20"/>
                <w:color w:val="auto"/>
              </w:rPr>
            </w:pPr>
            <w:r>
              <w:rPr>
                <w:rFonts w:ascii="Arial" w:cs="Arial" w:eastAsia="Arial" w:hAnsi="Arial"/>
                <w:sz w:val="16"/>
                <w:szCs w:val="16"/>
                <w:color w:val="auto"/>
              </w:rPr>
              <w:t>Adjusted diluted EPS $ change</w:t>
            </w:r>
          </w:p>
        </w:tc>
        <w:tc>
          <w:tcPr>
            <w:tcW w:w="3760" w:type="dxa"/>
            <w:vAlign w:val="bottom"/>
            <w:tcBorders>
              <w:bottom w:val="single" w:sz="8" w:color="949599"/>
            </w:tcBorders>
          </w:tcPr>
          <w:p>
            <w:pPr>
              <w:jc w:val="right"/>
              <w:ind w:right="201"/>
              <w:spacing w:after="0"/>
              <w:rPr>
                <w:sz w:val="20"/>
                <w:szCs w:val="20"/>
                <w:color w:val="auto"/>
              </w:rPr>
            </w:pPr>
            <w:r>
              <w:rPr>
                <w:rFonts w:ascii="Arial" w:cs="Arial" w:eastAsia="Arial" w:hAnsi="Arial"/>
                <w:sz w:val="16"/>
                <w:szCs w:val="16"/>
                <w:color w:val="auto"/>
              </w:rPr>
              <w:t>$ 0.64</w:t>
            </w:r>
          </w:p>
        </w:tc>
        <w:tc>
          <w:tcPr>
            <w:tcW w:w="720" w:type="dxa"/>
            <w:vAlign w:val="bottom"/>
            <w:tcBorders>
              <w:bottom w:val="single" w:sz="8" w:color="949599"/>
            </w:tcBorders>
          </w:tcPr>
          <w:p>
            <w:pPr>
              <w:spacing w:after="0"/>
              <w:rPr>
                <w:sz w:val="20"/>
                <w:szCs w:val="20"/>
                <w:color w:val="auto"/>
              </w:rPr>
            </w:pPr>
          </w:p>
        </w:tc>
      </w:tr>
      <w:tr>
        <w:trPr>
          <w:trHeight w:val="246"/>
        </w:trPr>
        <w:tc>
          <w:tcPr>
            <w:tcW w:w="67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Adjusted diluted EPS % change</w:t>
            </w:r>
          </w:p>
        </w:tc>
        <w:tc>
          <w:tcPr>
            <w:tcW w:w="37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8%</w:t>
            </w:r>
          </w:p>
        </w:tc>
        <w:tc>
          <w:tcPr>
            <w:tcW w:w="720" w:type="dxa"/>
            <w:vAlign w:val="bottom"/>
            <w:tcBorders>
              <w:bottom w:val="single" w:sz="8" w:color="auto"/>
            </w:tcBorders>
          </w:tcPr>
          <w:p>
            <w:pPr>
              <w:spacing w:after="0"/>
              <w:rPr>
                <w:sz w:val="21"/>
                <w:szCs w:val="21"/>
                <w:color w:val="auto"/>
              </w:rPr>
            </w:pPr>
          </w:p>
        </w:tc>
      </w:tr>
    </w:tbl>
    <w:p>
      <w:pPr>
        <w:spacing w:after="0" w:line="133"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auto"/>
        </w:rPr>
        <w:t>2022 Proxy Statement</w:t>
      </w:r>
      <w:r>
        <w:rPr>
          <w:sz w:val="20"/>
          <w:szCs w:val="20"/>
          <w:color w:val="auto"/>
        </w:rPr>
        <w:tab/>
      </w:r>
      <w:r>
        <w:rPr>
          <w:rFonts w:ascii="Arial" w:cs="Arial" w:eastAsia="Arial" w:hAnsi="Arial"/>
          <w:sz w:val="13"/>
          <w:szCs w:val="13"/>
          <w:b w:val="1"/>
          <w:bCs w:val="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7155180" cy="20955"/>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009A4B"/>
        </w:rPr>
        <w:t>Adjusted EBITDA</w:t>
      </w:r>
    </w:p>
    <w:p>
      <w:pPr>
        <w:spacing w:after="0" w:line="219"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We define adjusted EBITDA as net income less income (loss) from discontinued operations, net of tax, and excluding non-GAAP adjustments, which we do not believe to be indicative of underlying business trends, before interest expense, other non-operating income (expense), net, income tax provision and depreciation and amortization expense. Adjusted EBITDA provides a useful metric for management to assess operating performance.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Below is a presentation of consolidated sales and a reconciliation of net income on a GAAP basis to adjusted EBITDA: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Year Ended 30 September</w:t>
            </w:r>
          </w:p>
        </w:tc>
        <w:tc>
          <w:tcPr>
            <w:tcW w:w="25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7"/>
                <w:szCs w:val="17"/>
                <w:color w:val="auto"/>
              </w:rPr>
            </w:pPr>
          </w:p>
        </w:tc>
      </w:tr>
      <w:tr>
        <w:trPr>
          <w:trHeight w:val="246"/>
        </w:trPr>
        <w:tc>
          <w:tcPr>
            <w:tcW w:w="68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Sales</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99"/>
              </w:rPr>
              <w:t>10,323.0</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$ 8,856.3</w:t>
            </w:r>
          </w:p>
        </w:tc>
        <w:tc>
          <w:tcPr>
            <w:tcW w:w="20" w:type="dxa"/>
            <w:vAlign w:val="bottom"/>
          </w:tcPr>
          <w:p>
            <w:pPr>
              <w:spacing w:after="0"/>
              <w:rPr>
                <w:sz w:val="21"/>
                <w:szCs w:val="21"/>
                <w:color w:val="auto"/>
              </w:rPr>
            </w:pPr>
          </w:p>
        </w:tc>
      </w:tr>
      <w:tr>
        <w:trPr>
          <w:trHeight w:val="233"/>
        </w:trPr>
        <w:tc>
          <w:tcPr>
            <w:tcW w:w="6840" w:type="dxa"/>
            <w:vAlign w:val="bottom"/>
            <w:tcBorders>
              <w:bottom w:val="single" w:sz="8" w:color="949599"/>
            </w:tcBorders>
          </w:tcPr>
          <w:p>
            <w:pPr>
              <w:ind w:left="60"/>
              <w:spacing w:after="0"/>
              <w:rPr>
                <w:sz w:val="20"/>
                <w:szCs w:val="20"/>
                <w:color w:val="auto"/>
              </w:rPr>
            </w:pPr>
            <w:r>
              <w:rPr>
                <w:rFonts w:ascii="Arial" w:cs="Arial" w:eastAsia="Arial" w:hAnsi="Arial"/>
                <w:sz w:val="16"/>
                <w:szCs w:val="16"/>
                <w:b w:val="1"/>
                <w:bCs w:val="1"/>
                <w:color w:val="auto"/>
              </w:rPr>
              <w:t>Net income</w:t>
            </w:r>
          </w:p>
        </w:tc>
        <w:tc>
          <w:tcPr>
            <w:tcW w:w="258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949599"/>
            </w:tcBorders>
          </w:tcPr>
          <w:p>
            <w:pPr>
              <w:jc w:val="right"/>
              <w:ind w:right="201"/>
              <w:spacing w:after="0"/>
              <w:rPr>
                <w:sz w:val="20"/>
                <w:szCs w:val="20"/>
                <w:color w:val="auto"/>
              </w:rPr>
            </w:pPr>
            <w:r>
              <w:rPr>
                <w:rFonts w:ascii="Arial" w:cs="Arial" w:eastAsia="Arial" w:hAnsi="Arial"/>
                <w:sz w:val="16"/>
                <w:szCs w:val="16"/>
                <w:color w:val="auto"/>
              </w:rPr>
              <w:t>2,114.9</w:t>
            </w:r>
          </w:p>
        </w:tc>
        <w:tc>
          <w:tcPr>
            <w:tcW w:w="900" w:type="dxa"/>
            <w:vAlign w:val="bottom"/>
            <w:tcBorders>
              <w:bottom w:val="single" w:sz="8" w:color="949599"/>
            </w:tcBorders>
          </w:tcPr>
          <w:p>
            <w:pPr>
              <w:jc w:val="right"/>
              <w:ind w:right="21"/>
              <w:spacing w:after="0"/>
              <w:rPr>
                <w:sz w:val="20"/>
                <w:szCs w:val="20"/>
                <w:color w:val="auto"/>
              </w:rPr>
            </w:pPr>
            <w:r>
              <w:rPr>
                <w:rFonts w:ascii="Arial" w:cs="Arial" w:eastAsia="Arial" w:hAnsi="Arial"/>
                <w:sz w:val="16"/>
                <w:szCs w:val="16"/>
                <w:color w:val="auto"/>
              </w:rPr>
              <w:t>$ 1,931.1</w:t>
            </w:r>
          </w:p>
        </w:tc>
        <w:tc>
          <w:tcPr>
            <w:tcW w:w="20" w:type="dxa"/>
            <w:vAlign w:val="bottom"/>
          </w:tcPr>
          <w:p>
            <w:pPr>
              <w:spacing w:after="0"/>
              <w:rPr>
                <w:sz w:val="20"/>
                <w:szCs w:val="20"/>
                <w:color w:val="auto"/>
              </w:rPr>
            </w:pPr>
          </w:p>
        </w:tc>
      </w:tr>
      <w:tr>
        <w:trPr>
          <w:trHeight w:val="233"/>
        </w:trPr>
        <w:tc>
          <w:tcPr>
            <w:tcW w:w="6840" w:type="dxa"/>
            <w:vAlign w:val="bottom"/>
            <w:tcBorders>
              <w:bottom w:val="single" w:sz="8" w:color="949599"/>
            </w:tcBorders>
          </w:tcPr>
          <w:p>
            <w:pPr>
              <w:ind w:left="60"/>
              <w:spacing w:after="0"/>
              <w:rPr>
                <w:sz w:val="20"/>
                <w:szCs w:val="20"/>
                <w:color w:val="auto"/>
              </w:rPr>
            </w:pPr>
            <w:r>
              <w:rPr>
                <w:rFonts w:ascii="Arial" w:cs="Arial" w:eastAsia="Arial" w:hAnsi="Arial"/>
                <w:sz w:val="16"/>
                <w:szCs w:val="16"/>
                <w:color w:val="auto"/>
              </w:rPr>
              <w:t>Less: Income (Loss) from discontinued operations, net of tax</w:t>
            </w:r>
          </w:p>
        </w:tc>
        <w:tc>
          <w:tcPr>
            <w:tcW w:w="2580" w:type="dxa"/>
            <w:vAlign w:val="bottom"/>
            <w:tcBorders>
              <w:bottom w:val="single" w:sz="8" w:color="949599"/>
            </w:tcBorders>
          </w:tcPr>
          <w:p>
            <w:pPr>
              <w:spacing w:after="0"/>
              <w:rPr>
                <w:sz w:val="20"/>
                <w:szCs w:val="20"/>
                <w:color w:val="auto"/>
              </w:rPr>
            </w:pPr>
          </w:p>
        </w:tc>
        <w:tc>
          <w:tcPr>
            <w:tcW w:w="920" w:type="dxa"/>
            <w:vAlign w:val="bottom"/>
            <w:tcBorders>
              <w:bottom w:val="single" w:sz="8" w:color="949599"/>
            </w:tcBorders>
          </w:tcPr>
          <w:p>
            <w:pPr>
              <w:jc w:val="right"/>
              <w:ind w:right="201"/>
              <w:spacing w:after="0"/>
              <w:rPr>
                <w:sz w:val="20"/>
                <w:szCs w:val="20"/>
                <w:color w:val="auto"/>
              </w:rPr>
            </w:pPr>
            <w:r>
              <w:rPr>
                <w:rFonts w:ascii="Arial" w:cs="Arial" w:eastAsia="Arial" w:hAnsi="Arial"/>
                <w:sz w:val="16"/>
                <w:szCs w:val="16"/>
                <w:color w:val="auto"/>
              </w:rPr>
              <w:t>70.3</w:t>
            </w:r>
          </w:p>
        </w:tc>
        <w:tc>
          <w:tcPr>
            <w:tcW w:w="90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(14.3)</w:t>
            </w:r>
          </w:p>
        </w:tc>
        <w:tc>
          <w:tcPr>
            <w:tcW w:w="20" w:type="dxa"/>
            <w:vAlign w:val="bottom"/>
          </w:tcPr>
          <w:p>
            <w:pPr>
              <w:spacing w:after="0"/>
              <w:rPr>
                <w:sz w:val="20"/>
                <w:szCs w:val="20"/>
                <w:color w:val="auto"/>
              </w:rPr>
            </w:pPr>
          </w:p>
        </w:tc>
      </w:tr>
      <w:tr>
        <w:trPr>
          <w:trHeight w:val="233"/>
        </w:trPr>
        <w:tc>
          <w:tcPr>
            <w:tcW w:w="6840" w:type="dxa"/>
            <w:vAlign w:val="bottom"/>
            <w:tcBorders>
              <w:bottom w:val="single" w:sz="8" w:color="949599"/>
            </w:tcBorders>
          </w:tcPr>
          <w:p>
            <w:pPr>
              <w:ind w:left="60"/>
              <w:spacing w:after="0"/>
              <w:rPr>
                <w:sz w:val="20"/>
                <w:szCs w:val="20"/>
                <w:color w:val="auto"/>
              </w:rPr>
            </w:pPr>
            <w:r>
              <w:rPr>
                <w:rFonts w:ascii="Arial" w:cs="Arial" w:eastAsia="Arial" w:hAnsi="Arial"/>
                <w:sz w:val="16"/>
                <w:szCs w:val="16"/>
                <w:color w:val="auto"/>
              </w:rPr>
              <w:t>Add: Interest expense</w:t>
            </w:r>
          </w:p>
        </w:tc>
        <w:tc>
          <w:tcPr>
            <w:tcW w:w="2580" w:type="dxa"/>
            <w:vAlign w:val="bottom"/>
            <w:tcBorders>
              <w:bottom w:val="single" w:sz="8" w:color="949599"/>
            </w:tcBorders>
          </w:tcPr>
          <w:p>
            <w:pPr>
              <w:spacing w:after="0"/>
              <w:rPr>
                <w:sz w:val="20"/>
                <w:szCs w:val="20"/>
                <w:color w:val="auto"/>
              </w:rPr>
            </w:pPr>
          </w:p>
        </w:tc>
        <w:tc>
          <w:tcPr>
            <w:tcW w:w="920" w:type="dxa"/>
            <w:vAlign w:val="bottom"/>
            <w:tcBorders>
              <w:bottom w:val="single" w:sz="8" w:color="949599"/>
            </w:tcBorders>
          </w:tcPr>
          <w:p>
            <w:pPr>
              <w:jc w:val="right"/>
              <w:ind w:right="201"/>
              <w:spacing w:after="0"/>
              <w:rPr>
                <w:sz w:val="20"/>
                <w:szCs w:val="20"/>
                <w:color w:val="auto"/>
              </w:rPr>
            </w:pPr>
            <w:r>
              <w:rPr>
                <w:rFonts w:ascii="Arial" w:cs="Arial" w:eastAsia="Arial" w:hAnsi="Arial"/>
                <w:sz w:val="16"/>
                <w:szCs w:val="16"/>
                <w:color w:val="auto"/>
              </w:rPr>
              <w:t>141.8</w:t>
            </w:r>
          </w:p>
        </w:tc>
        <w:tc>
          <w:tcPr>
            <w:tcW w:w="900" w:type="dxa"/>
            <w:vAlign w:val="bottom"/>
            <w:tcBorders>
              <w:bottom w:val="single" w:sz="8" w:color="949599"/>
            </w:tcBorders>
          </w:tcPr>
          <w:p>
            <w:pPr>
              <w:jc w:val="right"/>
              <w:ind w:right="21"/>
              <w:spacing w:after="0"/>
              <w:rPr>
                <w:sz w:val="20"/>
                <w:szCs w:val="20"/>
                <w:color w:val="auto"/>
              </w:rPr>
            </w:pPr>
            <w:r>
              <w:rPr>
                <w:rFonts w:ascii="Arial" w:cs="Arial" w:eastAsia="Arial" w:hAnsi="Arial"/>
                <w:sz w:val="16"/>
                <w:szCs w:val="16"/>
                <w:color w:val="auto"/>
              </w:rPr>
              <w:t>109.3</w:t>
            </w:r>
          </w:p>
        </w:tc>
        <w:tc>
          <w:tcPr>
            <w:tcW w:w="20" w:type="dxa"/>
            <w:vAlign w:val="bottom"/>
          </w:tcPr>
          <w:p>
            <w:pPr>
              <w:spacing w:after="0"/>
              <w:rPr>
                <w:sz w:val="20"/>
                <w:szCs w:val="20"/>
                <w:color w:val="auto"/>
              </w:rPr>
            </w:pPr>
          </w:p>
        </w:tc>
      </w:tr>
      <w:tr>
        <w:trPr>
          <w:trHeight w:val="233"/>
        </w:trPr>
        <w:tc>
          <w:tcPr>
            <w:tcW w:w="6840" w:type="dxa"/>
            <w:vAlign w:val="bottom"/>
            <w:tcBorders>
              <w:bottom w:val="single" w:sz="8" w:color="949599"/>
            </w:tcBorders>
          </w:tcPr>
          <w:p>
            <w:pPr>
              <w:ind w:left="60"/>
              <w:spacing w:after="0"/>
              <w:rPr>
                <w:sz w:val="20"/>
                <w:szCs w:val="20"/>
                <w:color w:val="auto"/>
              </w:rPr>
            </w:pPr>
            <w:r>
              <w:rPr>
                <w:rFonts w:ascii="Arial" w:cs="Arial" w:eastAsia="Arial" w:hAnsi="Arial"/>
                <w:sz w:val="16"/>
                <w:szCs w:val="16"/>
                <w:color w:val="auto"/>
              </w:rPr>
              <w:t>Less: Other non-operating income (expense), net</w:t>
            </w:r>
          </w:p>
        </w:tc>
        <w:tc>
          <w:tcPr>
            <w:tcW w:w="2580" w:type="dxa"/>
            <w:vAlign w:val="bottom"/>
            <w:tcBorders>
              <w:bottom w:val="single" w:sz="8" w:color="949599"/>
            </w:tcBorders>
          </w:tcPr>
          <w:p>
            <w:pPr>
              <w:spacing w:after="0"/>
              <w:rPr>
                <w:sz w:val="20"/>
                <w:szCs w:val="20"/>
                <w:color w:val="auto"/>
              </w:rPr>
            </w:pPr>
          </w:p>
        </w:tc>
        <w:tc>
          <w:tcPr>
            <w:tcW w:w="920" w:type="dxa"/>
            <w:vAlign w:val="bottom"/>
            <w:tcBorders>
              <w:bottom w:val="single" w:sz="8" w:color="949599"/>
            </w:tcBorders>
          </w:tcPr>
          <w:p>
            <w:pPr>
              <w:jc w:val="right"/>
              <w:ind w:right="201"/>
              <w:spacing w:after="0"/>
              <w:rPr>
                <w:sz w:val="20"/>
                <w:szCs w:val="20"/>
                <w:color w:val="auto"/>
              </w:rPr>
            </w:pPr>
            <w:r>
              <w:rPr>
                <w:rFonts w:ascii="Arial" w:cs="Arial" w:eastAsia="Arial" w:hAnsi="Arial"/>
                <w:sz w:val="16"/>
                <w:szCs w:val="16"/>
                <w:color w:val="auto"/>
              </w:rPr>
              <w:t>73.7</w:t>
            </w:r>
          </w:p>
        </w:tc>
        <w:tc>
          <w:tcPr>
            <w:tcW w:w="900" w:type="dxa"/>
            <w:vAlign w:val="bottom"/>
            <w:tcBorders>
              <w:bottom w:val="single" w:sz="8" w:color="949599"/>
            </w:tcBorders>
          </w:tcPr>
          <w:p>
            <w:pPr>
              <w:jc w:val="right"/>
              <w:ind w:right="21"/>
              <w:spacing w:after="0"/>
              <w:rPr>
                <w:sz w:val="20"/>
                <w:szCs w:val="20"/>
                <w:color w:val="auto"/>
              </w:rPr>
            </w:pPr>
            <w:r>
              <w:rPr>
                <w:rFonts w:ascii="Arial" w:cs="Arial" w:eastAsia="Arial" w:hAnsi="Arial"/>
                <w:sz w:val="16"/>
                <w:szCs w:val="16"/>
                <w:color w:val="auto"/>
              </w:rPr>
              <w:t>30.7</w:t>
            </w:r>
          </w:p>
        </w:tc>
        <w:tc>
          <w:tcPr>
            <w:tcW w:w="20" w:type="dxa"/>
            <w:vAlign w:val="bottom"/>
          </w:tcPr>
          <w:p>
            <w:pPr>
              <w:spacing w:after="0"/>
              <w:rPr>
                <w:sz w:val="20"/>
                <w:szCs w:val="20"/>
                <w:color w:val="auto"/>
              </w:rPr>
            </w:pPr>
          </w:p>
        </w:tc>
      </w:tr>
      <w:tr>
        <w:trPr>
          <w:trHeight w:val="233"/>
        </w:trPr>
        <w:tc>
          <w:tcPr>
            <w:tcW w:w="6840" w:type="dxa"/>
            <w:vAlign w:val="bottom"/>
            <w:tcBorders>
              <w:bottom w:val="single" w:sz="8" w:color="949599"/>
            </w:tcBorders>
          </w:tcPr>
          <w:p>
            <w:pPr>
              <w:ind w:left="60"/>
              <w:spacing w:after="0"/>
              <w:rPr>
                <w:sz w:val="20"/>
                <w:szCs w:val="20"/>
                <w:color w:val="auto"/>
              </w:rPr>
            </w:pPr>
            <w:r>
              <w:rPr>
                <w:rFonts w:ascii="Arial" w:cs="Arial" w:eastAsia="Arial" w:hAnsi="Arial"/>
                <w:sz w:val="16"/>
                <w:szCs w:val="16"/>
                <w:color w:val="auto"/>
              </w:rPr>
              <w:t>Add: Income tax provision</w:t>
            </w:r>
          </w:p>
        </w:tc>
        <w:tc>
          <w:tcPr>
            <w:tcW w:w="2580" w:type="dxa"/>
            <w:vAlign w:val="bottom"/>
            <w:tcBorders>
              <w:bottom w:val="single" w:sz="8" w:color="949599"/>
            </w:tcBorders>
          </w:tcPr>
          <w:p>
            <w:pPr>
              <w:spacing w:after="0"/>
              <w:rPr>
                <w:sz w:val="20"/>
                <w:szCs w:val="20"/>
                <w:color w:val="auto"/>
              </w:rPr>
            </w:pPr>
          </w:p>
        </w:tc>
        <w:tc>
          <w:tcPr>
            <w:tcW w:w="920" w:type="dxa"/>
            <w:vAlign w:val="bottom"/>
            <w:tcBorders>
              <w:bottom w:val="single" w:sz="8" w:color="949599"/>
            </w:tcBorders>
          </w:tcPr>
          <w:p>
            <w:pPr>
              <w:jc w:val="right"/>
              <w:ind w:right="201"/>
              <w:spacing w:after="0"/>
              <w:rPr>
                <w:sz w:val="20"/>
                <w:szCs w:val="20"/>
                <w:color w:val="auto"/>
              </w:rPr>
            </w:pPr>
            <w:r>
              <w:rPr>
                <w:rFonts w:ascii="Arial" w:cs="Arial" w:eastAsia="Arial" w:hAnsi="Arial"/>
                <w:sz w:val="16"/>
                <w:szCs w:val="16"/>
                <w:color w:val="auto"/>
              </w:rPr>
              <w:t>462.8</w:t>
            </w:r>
          </w:p>
        </w:tc>
        <w:tc>
          <w:tcPr>
            <w:tcW w:w="900" w:type="dxa"/>
            <w:vAlign w:val="bottom"/>
            <w:tcBorders>
              <w:bottom w:val="single" w:sz="8" w:color="949599"/>
            </w:tcBorders>
          </w:tcPr>
          <w:p>
            <w:pPr>
              <w:jc w:val="right"/>
              <w:ind w:right="21"/>
              <w:spacing w:after="0"/>
              <w:rPr>
                <w:sz w:val="20"/>
                <w:szCs w:val="20"/>
                <w:color w:val="auto"/>
              </w:rPr>
            </w:pPr>
            <w:r>
              <w:rPr>
                <w:rFonts w:ascii="Arial" w:cs="Arial" w:eastAsia="Arial" w:hAnsi="Arial"/>
                <w:sz w:val="16"/>
                <w:szCs w:val="16"/>
                <w:color w:val="auto"/>
              </w:rPr>
              <w:t>478.4</w:t>
            </w:r>
          </w:p>
        </w:tc>
        <w:tc>
          <w:tcPr>
            <w:tcW w:w="20" w:type="dxa"/>
            <w:vAlign w:val="bottom"/>
          </w:tcPr>
          <w:p>
            <w:pPr>
              <w:spacing w:after="0"/>
              <w:rPr>
                <w:sz w:val="20"/>
                <w:szCs w:val="20"/>
                <w:color w:val="auto"/>
              </w:rPr>
            </w:pPr>
          </w:p>
        </w:tc>
      </w:tr>
      <w:tr>
        <w:trPr>
          <w:trHeight w:val="233"/>
        </w:trPr>
        <w:tc>
          <w:tcPr>
            <w:tcW w:w="6840" w:type="dxa"/>
            <w:vAlign w:val="bottom"/>
            <w:tcBorders>
              <w:bottom w:val="single" w:sz="8" w:color="949599"/>
            </w:tcBorders>
          </w:tcPr>
          <w:p>
            <w:pPr>
              <w:ind w:left="60"/>
              <w:spacing w:after="0"/>
              <w:rPr>
                <w:sz w:val="20"/>
                <w:szCs w:val="20"/>
                <w:color w:val="auto"/>
              </w:rPr>
            </w:pPr>
            <w:r>
              <w:rPr>
                <w:rFonts w:ascii="Arial" w:cs="Arial" w:eastAsia="Arial" w:hAnsi="Arial"/>
                <w:sz w:val="16"/>
                <w:szCs w:val="16"/>
                <w:color w:val="auto"/>
              </w:rPr>
              <w:t>Add: Depreciation and amortization</w:t>
            </w:r>
          </w:p>
        </w:tc>
        <w:tc>
          <w:tcPr>
            <w:tcW w:w="2580" w:type="dxa"/>
            <w:vAlign w:val="bottom"/>
            <w:tcBorders>
              <w:bottom w:val="single" w:sz="8" w:color="949599"/>
            </w:tcBorders>
          </w:tcPr>
          <w:p>
            <w:pPr>
              <w:spacing w:after="0"/>
              <w:rPr>
                <w:sz w:val="20"/>
                <w:szCs w:val="20"/>
                <w:color w:val="auto"/>
              </w:rPr>
            </w:pPr>
          </w:p>
        </w:tc>
        <w:tc>
          <w:tcPr>
            <w:tcW w:w="920" w:type="dxa"/>
            <w:vAlign w:val="bottom"/>
            <w:tcBorders>
              <w:bottom w:val="single" w:sz="8" w:color="949599"/>
            </w:tcBorders>
          </w:tcPr>
          <w:p>
            <w:pPr>
              <w:jc w:val="right"/>
              <w:ind w:right="201"/>
              <w:spacing w:after="0"/>
              <w:rPr>
                <w:sz w:val="20"/>
                <w:szCs w:val="20"/>
                <w:color w:val="auto"/>
              </w:rPr>
            </w:pPr>
            <w:r>
              <w:rPr>
                <w:rFonts w:ascii="Arial" w:cs="Arial" w:eastAsia="Arial" w:hAnsi="Arial"/>
                <w:sz w:val="16"/>
                <w:szCs w:val="16"/>
                <w:color w:val="auto"/>
              </w:rPr>
              <w:t>1,321.3</w:t>
            </w:r>
          </w:p>
        </w:tc>
        <w:tc>
          <w:tcPr>
            <w:tcW w:w="900" w:type="dxa"/>
            <w:vAlign w:val="bottom"/>
            <w:tcBorders>
              <w:bottom w:val="single" w:sz="8" w:color="949599"/>
            </w:tcBorders>
          </w:tcPr>
          <w:p>
            <w:pPr>
              <w:jc w:val="right"/>
              <w:ind w:right="21"/>
              <w:spacing w:after="0"/>
              <w:rPr>
                <w:sz w:val="20"/>
                <w:szCs w:val="20"/>
                <w:color w:val="auto"/>
              </w:rPr>
            </w:pPr>
            <w:r>
              <w:rPr>
                <w:rFonts w:ascii="Arial" w:cs="Arial" w:eastAsia="Arial" w:hAnsi="Arial"/>
                <w:sz w:val="16"/>
                <w:szCs w:val="16"/>
                <w:color w:val="auto"/>
              </w:rPr>
              <w:t>1,185.0</w:t>
            </w:r>
          </w:p>
        </w:tc>
        <w:tc>
          <w:tcPr>
            <w:tcW w:w="20" w:type="dxa"/>
            <w:vAlign w:val="bottom"/>
          </w:tcPr>
          <w:p>
            <w:pPr>
              <w:spacing w:after="0"/>
              <w:rPr>
                <w:sz w:val="20"/>
                <w:szCs w:val="20"/>
                <w:color w:val="auto"/>
              </w:rPr>
            </w:pPr>
          </w:p>
        </w:tc>
      </w:tr>
      <w:tr>
        <w:trPr>
          <w:trHeight w:val="233"/>
        </w:trPr>
        <w:tc>
          <w:tcPr>
            <w:tcW w:w="6840" w:type="dxa"/>
            <w:vAlign w:val="bottom"/>
            <w:tcBorders>
              <w:bottom w:val="single" w:sz="8" w:color="949599"/>
            </w:tcBorders>
          </w:tcPr>
          <w:p>
            <w:pPr>
              <w:ind w:left="60"/>
              <w:spacing w:after="0"/>
              <w:rPr>
                <w:sz w:val="20"/>
                <w:szCs w:val="20"/>
                <w:color w:val="auto"/>
              </w:rPr>
            </w:pPr>
            <w:r>
              <w:rPr>
                <w:rFonts w:ascii="Arial" w:cs="Arial" w:eastAsia="Arial" w:hAnsi="Arial"/>
                <w:sz w:val="16"/>
                <w:szCs w:val="16"/>
                <w:color w:val="auto"/>
              </w:rPr>
              <w:t>Add: Facility closure</w:t>
            </w:r>
          </w:p>
        </w:tc>
        <w:tc>
          <w:tcPr>
            <w:tcW w:w="2580" w:type="dxa"/>
            <w:vAlign w:val="bottom"/>
            <w:tcBorders>
              <w:bottom w:val="single" w:sz="8" w:color="949599"/>
            </w:tcBorders>
          </w:tcPr>
          <w:p>
            <w:pPr>
              <w:spacing w:after="0"/>
              <w:rPr>
                <w:sz w:val="20"/>
                <w:szCs w:val="20"/>
                <w:color w:val="auto"/>
              </w:rPr>
            </w:pPr>
          </w:p>
        </w:tc>
        <w:tc>
          <w:tcPr>
            <w:tcW w:w="920" w:type="dxa"/>
            <w:vAlign w:val="bottom"/>
            <w:tcBorders>
              <w:bottom w:val="single" w:sz="8" w:color="949599"/>
            </w:tcBorders>
          </w:tcPr>
          <w:p>
            <w:pPr>
              <w:jc w:val="right"/>
              <w:ind w:right="201"/>
              <w:spacing w:after="0"/>
              <w:rPr>
                <w:sz w:val="20"/>
                <w:szCs w:val="20"/>
                <w:color w:val="auto"/>
              </w:rPr>
            </w:pPr>
            <w:r>
              <w:rPr>
                <w:rFonts w:ascii="Arial" w:cs="Arial" w:eastAsia="Arial" w:hAnsi="Arial"/>
                <w:sz w:val="16"/>
                <w:szCs w:val="16"/>
                <w:color w:val="auto"/>
              </w:rPr>
              <w:t>23.2</w:t>
            </w:r>
          </w:p>
        </w:tc>
        <w:tc>
          <w:tcPr>
            <w:tcW w:w="900" w:type="dxa"/>
            <w:vAlign w:val="bottom"/>
            <w:tcBorders>
              <w:bottom w:val="single" w:sz="8" w:color="949599"/>
            </w:tcBorders>
          </w:tcPr>
          <w:p>
            <w:pPr>
              <w:jc w:val="right"/>
              <w:ind w:right="2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r>
      <w:tr>
        <w:trPr>
          <w:trHeight w:val="233"/>
        </w:trPr>
        <w:tc>
          <w:tcPr>
            <w:tcW w:w="6840" w:type="dxa"/>
            <w:vAlign w:val="bottom"/>
            <w:tcBorders>
              <w:bottom w:val="single" w:sz="8" w:color="949599"/>
            </w:tcBorders>
          </w:tcPr>
          <w:p>
            <w:pPr>
              <w:ind w:left="60"/>
              <w:spacing w:after="0"/>
              <w:rPr>
                <w:sz w:val="20"/>
                <w:szCs w:val="20"/>
                <w:color w:val="auto"/>
              </w:rPr>
            </w:pPr>
            <w:r>
              <w:rPr>
                <w:rFonts w:ascii="Arial" w:cs="Arial" w:eastAsia="Arial" w:hAnsi="Arial"/>
                <w:sz w:val="16"/>
                <w:szCs w:val="16"/>
                <w:color w:val="auto"/>
              </w:rPr>
              <w:t>Less: Gain on exchange with joint venture partner</w:t>
            </w:r>
          </w:p>
        </w:tc>
        <w:tc>
          <w:tcPr>
            <w:tcW w:w="2580" w:type="dxa"/>
            <w:vAlign w:val="bottom"/>
            <w:tcBorders>
              <w:bottom w:val="single" w:sz="8" w:color="949599"/>
            </w:tcBorders>
          </w:tcPr>
          <w:p>
            <w:pPr>
              <w:spacing w:after="0"/>
              <w:rPr>
                <w:sz w:val="20"/>
                <w:szCs w:val="20"/>
                <w:color w:val="auto"/>
              </w:rPr>
            </w:pPr>
          </w:p>
        </w:tc>
        <w:tc>
          <w:tcPr>
            <w:tcW w:w="920" w:type="dxa"/>
            <w:vAlign w:val="bottom"/>
            <w:tcBorders>
              <w:bottom w:val="single" w:sz="8" w:color="949599"/>
            </w:tcBorders>
          </w:tcPr>
          <w:p>
            <w:pPr>
              <w:jc w:val="right"/>
              <w:ind w:right="201"/>
              <w:spacing w:after="0"/>
              <w:rPr>
                <w:sz w:val="20"/>
                <w:szCs w:val="20"/>
                <w:color w:val="auto"/>
              </w:rPr>
            </w:pPr>
            <w:r>
              <w:rPr>
                <w:rFonts w:ascii="Arial" w:cs="Arial" w:eastAsia="Arial" w:hAnsi="Arial"/>
                <w:sz w:val="16"/>
                <w:szCs w:val="16"/>
                <w:color w:val="auto"/>
              </w:rPr>
              <w:t>36.8</w:t>
            </w:r>
          </w:p>
        </w:tc>
        <w:tc>
          <w:tcPr>
            <w:tcW w:w="900" w:type="dxa"/>
            <w:vAlign w:val="bottom"/>
            <w:tcBorders>
              <w:bottom w:val="single" w:sz="8" w:color="949599"/>
            </w:tcBorders>
          </w:tcPr>
          <w:p>
            <w:pPr>
              <w:jc w:val="right"/>
              <w:ind w:right="2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r>
      <w:tr>
        <w:trPr>
          <w:trHeight w:val="233"/>
        </w:trPr>
        <w:tc>
          <w:tcPr>
            <w:tcW w:w="6840" w:type="dxa"/>
            <w:vAlign w:val="bottom"/>
            <w:tcBorders>
              <w:bottom w:val="single" w:sz="8" w:color="949599"/>
            </w:tcBorders>
          </w:tcPr>
          <w:p>
            <w:pPr>
              <w:ind w:left="60"/>
              <w:spacing w:after="0"/>
              <w:rPr>
                <w:sz w:val="20"/>
                <w:szCs w:val="20"/>
                <w:color w:val="auto"/>
              </w:rPr>
            </w:pPr>
            <w:r>
              <w:rPr>
                <w:rFonts w:ascii="Arial" w:cs="Arial" w:eastAsia="Arial" w:hAnsi="Arial"/>
                <w:sz w:val="16"/>
                <w:szCs w:val="16"/>
                <w:color w:val="auto"/>
              </w:rPr>
              <w:t>Less: Company headquarters relocation income (expense)</w:t>
            </w:r>
          </w:p>
        </w:tc>
        <w:tc>
          <w:tcPr>
            <w:tcW w:w="2580" w:type="dxa"/>
            <w:vAlign w:val="bottom"/>
            <w:tcBorders>
              <w:bottom w:val="single" w:sz="8" w:color="949599"/>
            </w:tcBorders>
          </w:tcPr>
          <w:p>
            <w:pPr>
              <w:spacing w:after="0"/>
              <w:rPr>
                <w:sz w:val="20"/>
                <w:szCs w:val="20"/>
                <w:color w:val="auto"/>
              </w:rPr>
            </w:pPr>
          </w:p>
        </w:tc>
        <w:tc>
          <w:tcPr>
            <w:tcW w:w="920" w:type="dxa"/>
            <w:vAlign w:val="bottom"/>
            <w:tcBorders>
              <w:bottom w:val="single" w:sz="8" w:color="949599"/>
            </w:tcBorders>
          </w:tcPr>
          <w:p>
            <w:pPr>
              <w:jc w:val="right"/>
              <w:ind w:right="20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949599"/>
            </w:tcBorders>
          </w:tcPr>
          <w:p>
            <w:pPr>
              <w:jc w:val="right"/>
              <w:ind w:right="21"/>
              <w:spacing w:after="0"/>
              <w:rPr>
                <w:sz w:val="20"/>
                <w:szCs w:val="20"/>
                <w:color w:val="auto"/>
              </w:rPr>
            </w:pPr>
            <w:r>
              <w:rPr>
                <w:rFonts w:ascii="Arial" w:cs="Arial" w:eastAsia="Arial" w:hAnsi="Arial"/>
                <w:sz w:val="16"/>
                <w:szCs w:val="16"/>
                <w:color w:val="auto"/>
              </w:rPr>
              <w:t>33.8</w:t>
            </w:r>
          </w:p>
        </w:tc>
        <w:tc>
          <w:tcPr>
            <w:tcW w:w="20" w:type="dxa"/>
            <w:vAlign w:val="bottom"/>
          </w:tcPr>
          <w:p>
            <w:pPr>
              <w:spacing w:after="0"/>
              <w:rPr>
                <w:sz w:val="20"/>
                <w:szCs w:val="20"/>
                <w:color w:val="auto"/>
              </w:rPr>
            </w:pPr>
          </w:p>
        </w:tc>
      </w:tr>
      <w:tr>
        <w:trPr>
          <w:trHeight w:val="233"/>
        </w:trPr>
        <w:tc>
          <w:tcPr>
            <w:tcW w:w="6840" w:type="dxa"/>
            <w:vAlign w:val="bottom"/>
            <w:tcBorders>
              <w:bottom w:val="single" w:sz="8" w:color="949599"/>
            </w:tcBorders>
          </w:tcPr>
          <w:p>
            <w:pPr>
              <w:ind w:left="60"/>
              <w:spacing w:after="0"/>
              <w:rPr>
                <w:sz w:val="20"/>
                <w:szCs w:val="20"/>
                <w:color w:val="auto"/>
              </w:rPr>
            </w:pPr>
            <w:r>
              <w:rPr>
                <w:rFonts w:ascii="Arial" w:cs="Arial" w:eastAsia="Arial" w:hAnsi="Arial"/>
                <w:sz w:val="16"/>
                <w:szCs w:val="16"/>
                <w:color w:val="auto"/>
              </w:rPr>
              <w:t>Less: India Finance Act 2020 – equity affiliate income impact</w:t>
            </w:r>
          </w:p>
        </w:tc>
        <w:tc>
          <w:tcPr>
            <w:tcW w:w="2580" w:type="dxa"/>
            <w:vAlign w:val="bottom"/>
            <w:tcBorders>
              <w:bottom w:val="single" w:sz="8" w:color="949599"/>
            </w:tcBorders>
          </w:tcPr>
          <w:p>
            <w:pPr>
              <w:spacing w:after="0"/>
              <w:rPr>
                <w:sz w:val="20"/>
                <w:szCs w:val="20"/>
                <w:color w:val="auto"/>
              </w:rPr>
            </w:pPr>
          </w:p>
        </w:tc>
        <w:tc>
          <w:tcPr>
            <w:tcW w:w="920" w:type="dxa"/>
            <w:vAlign w:val="bottom"/>
            <w:tcBorders>
              <w:bottom w:val="single" w:sz="8" w:color="949599"/>
            </w:tcBorders>
          </w:tcPr>
          <w:p>
            <w:pPr>
              <w:jc w:val="right"/>
              <w:ind w:right="20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949599"/>
            </w:tcBorders>
          </w:tcPr>
          <w:p>
            <w:pPr>
              <w:jc w:val="right"/>
              <w:ind w:right="21"/>
              <w:spacing w:after="0"/>
              <w:rPr>
                <w:sz w:val="20"/>
                <w:szCs w:val="20"/>
                <w:color w:val="auto"/>
              </w:rPr>
            </w:pPr>
            <w:r>
              <w:rPr>
                <w:rFonts w:ascii="Arial" w:cs="Arial" w:eastAsia="Arial" w:hAnsi="Arial"/>
                <w:sz w:val="16"/>
                <w:szCs w:val="16"/>
                <w:color w:val="auto"/>
              </w:rPr>
              <w:t>33.8</w:t>
            </w:r>
          </w:p>
        </w:tc>
        <w:tc>
          <w:tcPr>
            <w:tcW w:w="20" w:type="dxa"/>
            <w:vAlign w:val="bottom"/>
          </w:tcPr>
          <w:p>
            <w:pPr>
              <w:spacing w:after="0"/>
              <w:rPr>
                <w:sz w:val="20"/>
                <w:szCs w:val="20"/>
                <w:color w:val="auto"/>
              </w:rPr>
            </w:pPr>
          </w:p>
        </w:tc>
      </w:tr>
      <w:tr>
        <w:trPr>
          <w:trHeight w:val="246"/>
        </w:trPr>
        <w:tc>
          <w:tcPr>
            <w:tcW w:w="68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Adjusted EBITDA</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3,883.2</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$ 3,619.8</w:t>
            </w:r>
          </w:p>
        </w:tc>
        <w:tc>
          <w:tcPr>
            <w:tcW w:w="20" w:type="dxa"/>
            <w:vAlign w:val="bottom"/>
          </w:tcPr>
          <w:p>
            <w:pPr>
              <w:spacing w:after="0"/>
              <w:rPr>
                <w:sz w:val="21"/>
                <w:szCs w:val="21"/>
                <w:color w:val="auto"/>
              </w:rPr>
            </w:pPr>
          </w:p>
        </w:tc>
      </w:tr>
      <w:tr>
        <w:trPr>
          <w:trHeight w:val="233"/>
        </w:trPr>
        <w:tc>
          <w:tcPr>
            <w:tcW w:w="6840" w:type="dxa"/>
            <w:vAlign w:val="bottom"/>
            <w:tcBorders>
              <w:bottom w:val="single" w:sz="8" w:color="949599"/>
            </w:tcBorders>
          </w:tcPr>
          <w:p>
            <w:pPr>
              <w:ind w:left="60"/>
              <w:spacing w:after="0"/>
              <w:rPr>
                <w:sz w:val="20"/>
                <w:szCs w:val="20"/>
                <w:color w:val="auto"/>
              </w:rPr>
            </w:pPr>
            <w:r>
              <w:rPr>
                <w:rFonts w:ascii="Arial" w:cs="Arial" w:eastAsia="Arial" w:hAnsi="Arial"/>
                <w:sz w:val="16"/>
                <w:szCs w:val="16"/>
                <w:b w:val="1"/>
                <w:bCs w:val="1"/>
                <w:color w:val="auto"/>
              </w:rPr>
              <w:t>Change GAAP versus prior year</w:t>
            </w:r>
          </w:p>
        </w:tc>
        <w:tc>
          <w:tcPr>
            <w:tcW w:w="2580" w:type="dxa"/>
            <w:vAlign w:val="bottom"/>
            <w:tcBorders>
              <w:bottom w:val="single" w:sz="8" w:color="949599"/>
            </w:tcBorders>
          </w:tcPr>
          <w:p>
            <w:pPr>
              <w:spacing w:after="0"/>
              <w:rPr>
                <w:sz w:val="20"/>
                <w:szCs w:val="20"/>
                <w:color w:val="auto"/>
              </w:rPr>
            </w:pPr>
          </w:p>
        </w:tc>
        <w:tc>
          <w:tcPr>
            <w:tcW w:w="920" w:type="dxa"/>
            <w:vAlign w:val="bottom"/>
            <w:tcBorders>
              <w:bottom w:val="single" w:sz="8" w:color="949599"/>
            </w:tcBorders>
          </w:tcPr>
          <w:p>
            <w:pPr>
              <w:spacing w:after="0"/>
              <w:rPr>
                <w:sz w:val="20"/>
                <w:szCs w:val="20"/>
                <w:color w:val="auto"/>
              </w:rPr>
            </w:pPr>
          </w:p>
        </w:tc>
        <w:tc>
          <w:tcPr>
            <w:tcW w:w="900" w:type="dxa"/>
            <w:vAlign w:val="bottom"/>
            <w:tcBorders>
              <w:bottom w:val="single" w:sz="8" w:color="949599"/>
            </w:tcBorders>
          </w:tcPr>
          <w:p>
            <w:pPr>
              <w:spacing w:after="0"/>
              <w:rPr>
                <w:sz w:val="20"/>
                <w:szCs w:val="20"/>
                <w:color w:val="auto"/>
              </w:rPr>
            </w:pPr>
          </w:p>
        </w:tc>
        <w:tc>
          <w:tcPr>
            <w:tcW w:w="20" w:type="dxa"/>
            <w:vAlign w:val="bottom"/>
          </w:tcPr>
          <w:p>
            <w:pPr>
              <w:spacing w:after="0"/>
              <w:rPr>
                <w:sz w:val="20"/>
                <w:szCs w:val="20"/>
                <w:color w:val="auto"/>
              </w:rPr>
            </w:pPr>
          </w:p>
        </w:tc>
      </w:tr>
      <w:tr>
        <w:trPr>
          <w:trHeight w:val="233"/>
        </w:trPr>
        <w:tc>
          <w:tcPr>
            <w:tcW w:w="6840" w:type="dxa"/>
            <w:vAlign w:val="bottom"/>
            <w:tcBorders>
              <w:bottom w:val="single" w:sz="8" w:color="949599"/>
            </w:tcBorders>
          </w:tcPr>
          <w:p>
            <w:pPr>
              <w:ind w:left="180"/>
              <w:spacing w:after="0"/>
              <w:rPr>
                <w:sz w:val="20"/>
                <w:szCs w:val="20"/>
                <w:color w:val="auto"/>
              </w:rPr>
            </w:pPr>
            <w:r>
              <w:rPr>
                <w:rFonts w:ascii="Arial" w:cs="Arial" w:eastAsia="Arial" w:hAnsi="Arial"/>
                <w:sz w:val="16"/>
                <w:szCs w:val="16"/>
                <w:color w:val="auto"/>
              </w:rPr>
              <w:t>Net income $ change</w:t>
            </w:r>
          </w:p>
        </w:tc>
        <w:tc>
          <w:tcPr>
            <w:tcW w:w="258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949599"/>
            </w:tcBorders>
          </w:tcPr>
          <w:p>
            <w:pPr>
              <w:jc w:val="right"/>
              <w:ind w:right="201"/>
              <w:spacing w:after="0"/>
              <w:rPr>
                <w:sz w:val="20"/>
                <w:szCs w:val="20"/>
                <w:color w:val="auto"/>
              </w:rPr>
            </w:pPr>
            <w:r>
              <w:rPr>
                <w:rFonts w:ascii="Arial" w:cs="Arial" w:eastAsia="Arial" w:hAnsi="Arial"/>
                <w:sz w:val="16"/>
                <w:szCs w:val="16"/>
                <w:color w:val="auto"/>
              </w:rPr>
              <w:t>183.8</w:t>
            </w:r>
          </w:p>
        </w:tc>
        <w:tc>
          <w:tcPr>
            <w:tcW w:w="900" w:type="dxa"/>
            <w:vAlign w:val="bottom"/>
            <w:tcBorders>
              <w:bottom w:val="single" w:sz="8" w:color="949599"/>
            </w:tcBorders>
          </w:tcPr>
          <w:p>
            <w:pPr>
              <w:spacing w:after="0"/>
              <w:rPr>
                <w:sz w:val="20"/>
                <w:szCs w:val="20"/>
                <w:color w:val="auto"/>
              </w:rPr>
            </w:pPr>
          </w:p>
        </w:tc>
        <w:tc>
          <w:tcPr>
            <w:tcW w:w="20" w:type="dxa"/>
            <w:vAlign w:val="bottom"/>
          </w:tcPr>
          <w:p>
            <w:pPr>
              <w:spacing w:after="0"/>
              <w:rPr>
                <w:sz w:val="20"/>
                <w:szCs w:val="20"/>
                <w:color w:val="auto"/>
              </w:rPr>
            </w:pPr>
          </w:p>
        </w:tc>
      </w:tr>
      <w:tr>
        <w:trPr>
          <w:trHeight w:val="246"/>
        </w:trPr>
        <w:tc>
          <w:tcPr>
            <w:tcW w:w="68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Net income % change</w:t>
            </w:r>
          </w:p>
        </w:tc>
        <w:tc>
          <w:tcPr>
            <w:tcW w:w="25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10%</w:t>
            </w: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6840" w:type="dxa"/>
            <w:vAlign w:val="bottom"/>
            <w:tcBorders>
              <w:bottom w:val="single" w:sz="8" w:color="949599"/>
            </w:tcBorders>
          </w:tcPr>
          <w:p>
            <w:pPr>
              <w:ind w:left="60"/>
              <w:spacing w:after="0"/>
              <w:rPr>
                <w:sz w:val="20"/>
                <w:szCs w:val="20"/>
                <w:color w:val="auto"/>
              </w:rPr>
            </w:pPr>
            <w:r>
              <w:rPr>
                <w:rFonts w:ascii="Arial" w:cs="Arial" w:eastAsia="Arial" w:hAnsi="Arial"/>
                <w:sz w:val="16"/>
                <w:szCs w:val="16"/>
                <w:b w:val="1"/>
                <w:bCs w:val="1"/>
                <w:color w:val="auto"/>
              </w:rPr>
              <w:t>Change Non-GAAP versus prior year</w:t>
            </w:r>
          </w:p>
        </w:tc>
        <w:tc>
          <w:tcPr>
            <w:tcW w:w="2580" w:type="dxa"/>
            <w:vAlign w:val="bottom"/>
            <w:tcBorders>
              <w:bottom w:val="single" w:sz="8" w:color="949599"/>
            </w:tcBorders>
          </w:tcPr>
          <w:p>
            <w:pPr>
              <w:spacing w:after="0"/>
              <w:rPr>
                <w:sz w:val="20"/>
                <w:szCs w:val="20"/>
                <w:color w:val="auto"/>
              </w:rPr>
            </w:pPr>
          </w:p>
        </w:tc>
        <w:tc>
          <w:tcPr>
            <w:tcW w:w="920" w:type="dxa"/>
            <w:vAlign w:val="bottom"/>
            <w:tcBorders>
              <w:bottom w:val="single" w:sz="8" w:color="949599"/>
            </w:tcBorders>
          </w:tcPr>
          <w:p>
            <w:pPr>
              <w:spacing w:after="0"/>
              <w:rPr>
                <w:sz w:val="20"/>
                <w:szCs w:val="20"/>
                <w:color w:val="auto"/>
              </w:rPr>
            </w:pPr>
          </w:p>
        </w:tc>
        <w:tc>
          <w:tcPr>
            <w:tcW w:w="900" w:type="dxa"/>
            <w:vAlign w:val="bottom"/>
            <w:tcBorders>
              <w:bottom w:val="single" w:sz="8" w:color="949599"/>
            </w:tcBorders>
          </w:tcPr>
          <w:p>
            <w:pPr>
              <w:spacing w:after="0"/>
              <w:rPr>
                <w:sz w:val="20"/>
                <w:szCs w:val="20"/>
                <w:color w:val="auto"/>
              </w:rPr>
            </w:pPr>
          </w:p>
        </w:tc>
        <w:tc>
          <w:tcPr>
            <w:tcW w:w="20" w:type="dxa"/>
            <w:vAlign w:val="bottom"/>
          </w:tcPr>
          <w:p>
            <w:pPr>
              <w:spacing w:after="0"/>
              <w:rPr>
                <w:sz w:val="20"/>
                <w:szCs w:val="20"/>
                <w:color w:val="auto"/>
              </w:rPr>
            </w:pPr>
          </w:p>
        </w:tc>
      </w:tr>
      <w:tr>
        <w:trPr>
          <w:trHeight w:val="233"/>
        </w:trPr>
        <w:tc>
          <w:tcPr>
            <w:tcW w:w="6840" w:type="dxa"/>
            <w:vAlign w:val="bottom"/>
            <w:tcBorders>
              <w:bottom w:val="single" w:sz="8" w:color="949599"/>
            </w:tcBorders>
          </w:tcPr>
          <w:p>
            <w:pPr>
              <w:ind w:left="180"/>
              <w:spacing w:after="0"/>
              <w:rPr>
                <w:sz w:val="20"/>
                <w:szCs w:val="20"/>
                <w:color w:val="auto"/>
              </w:rPr>
            </w:pPr>
            <w:r>
              <w:rPr>
                <w:rFonts w:ascii="Arial" w:cs="Arial" w:eastAsia="Arial" w:hAnsi="Arial"/>
                <w:sz w:val="16"/>
                <w:szCs w:val="16"/>
                <w:color w:val="auto"/>
              </w:rPr>
              <w:t>Adjusted EBITDA $ change</w:t>
            </w:r>
          </w:p>
        </w:tc>
        <w:tc>
          <w:tcPr>
            <w:tcW w:w="2580" w:type="dxa"/>
            <w:vAlign w:val="bottom"/>
            <w:tcBorders>
              <w:bottom w:val="single" w:sz="8" w:color="949599"/>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949599"/>
            </w:tcBorders>
          </w:tcPr>
          <w:p>
            <w:pPr>
              <w:jc w:val="right"/>
              <w:ind w:right="201"/>
              <w:spacing w:after="0"/>
              <w:rPr>
                <w:sz w:val="20"/>
                <w:szCs w:val="20"/>
                <w:color w:val="auto"/>
              </w:rPr>
            </w:pPr>
            <w:r>
              <w:rPr>
                <w:rFonts w:ascii="Arial" w:cs="Arial" w:eastAsia="Arial" w:hAnsi="Arial"/>
                <w:sz w:val="16"/>
                <w:szCs w:val="16"/>
                <w:color w:val="auto"/>
              </w:rPr>
              <w:t>263.4</w:t>
            </w:r>
          </w:p>
        </w:tc>
        <w:tc>
          <w:tcPr>
            <w:tcW w:w="900" w:type="dxa"/>
            <w:vAlign w:val="bottom"/>
            <w:tcBorders>
              <w:bottom w:val="single" w:sz="8" w:color="949599"/>
            </w:tcBorders>
          </w:tcPr>
          <w:p>
            <w:pPr>
              <w:spacing w:after="0"/>
              <w:rPr>
                <w:sz w:val="20"/>
                <w:szCs w:val="20"/>
                <w:color w:val="auto"/>
              </w:rPr>
            </w:pPr>
          </w:p>
        </w:tc>
        <w:tc>
          <w:tcPr>
            <w:tcW w:w="20" w:type="dxa"/>
            <w:vAlign w:val="bottom"/>
          </w:tcPr>
          <w:p>
            <w:pPr>
              <w:spacing w:after="0"/>
              <w:rPr>
                <w:sz w:val="20"/>
                <w:szCs w:val="20"/>
                <w:color w:val="auto"/>
              </w:rPr>
            </w:pPr>
          </w:p>
        </w:tc>
      </w:tr>
      <w:tr>
        <w:trPr>
          <w:trHeight w:val="246"/>
        </w:trPr>
        <w:tc>
          <w:tcPr>
            <w:tcW w:w="68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Adjusted EBITDA % change</w:t>
            </w:r>
          </w:p>
        </w:tc>
        <w:tc>
          <w:tcPr>
            <w:tcW w:w="25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7%</w:t>
            </w: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561"/>
        </w:trPr>
        <w:tc>
          <w:tcPr>
            <w:tcW w:w="6840" w:type="dxa"/>
            <w:vAlign w:val="bottom"/>
          </w:tcPr>
          <w:p>
            <w:pPr>
              <w:spacing w:after="0"/>
              <w:rPr>
                <w:sz w:val="20"/>
                <w:szCs w:val="20"/>
                <w:color w:val="auto"/>
              </w:rPr>
            </w:pPr>
            <w:r>
              <w:rPr>
                <w:rFonts w:ascii="Arial" w:cs="Arial" w:eastAsia="Arial" w:hAnsi="Arial"/>
                <w:sz w:val="14"/>
                <w:szCs w:val="14"/>
                <w:b w:val="1"/>
                <w:bCs w:val="1"/>
                <w:color w:val="auto"/>
              </w:rPr>
              <w:t>A-2</w:t>
            </w:r>
          </w:p>
        </w:tc>
        <w:tc>
          <w:tcPr>
            <w:tcW w:w="2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6840" w:type="dxa"/>
            <w:vAlign w:val="bottom"/>
            <w:tcBorders>
              <w:bottom w:val="single" w:sz="8" w:color="808080"/>
            </w:tcBorders>
          </w:tcPr>
          <w:p>
            <w:pPr>
              <w:spacing w:after="0"/>
              <w:rPr>
                <w:sz w:val="20"/>
                <w:szCs w:val="20"/>
                <w:color w:val="auto"/>
              </w:rPr>
            </w:pPr>
          </w:p>
        </w:tc>
        <w:tc>
          <w:tcPr>
            <w:tcW w:w="2580" w:type="dxa"/>
            <w:vAlign w:val="bottom"/>
            <w:tcBorders>
              <w:bottom w:val="single" w:sz="8" w:color="808080"/>
            </w:tcBorders>
          </w:tcPr>
          <w:p>
            <w:pPr>
              <w:spacing w:after="0"/>
              <w:rPr>
                <w:sz w:val="20"/>
                <w:szCs w:val="20"/>
                <w:color w:val="auto"/>
              </w:rPr>
            </w:pPr>
          </w:p>
        </w:tc>
        <w:tc>
          <w:tcPr>
            <w:tcW w:w="920" w:type="dxa"/>
            <w:vAlign w:val="bottom"/>
            <w:tcBorders>
              <w:bottom w:val="single" w:sz="8" w:color="808080"/>
            </w:tcBorders>
          </w:tcPr>
          <w:p>
            <w:pPr>
              <w:spacing w:after="0"/>
              <w:rPr>
                <w:sz w:val="20"/>
                <w:szCs w:val="20"/>
                <w:color w:val="auto"/>
              </w:rPr>
            </w:pPr>
          </w:p>
        </w:tc>
        <w:tc>
          <w:tcPr>
            <w:tcW w:w="90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-13970</wp:posOffset>
            </wp:positionV>
            <wp:extent cx="12700" cy="8255"/>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-306070</wp:posOffset>
            </wp:positionV>
            <wp:extent cx="845185" cy="202565"/>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845185" cy="20256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35"/>
          <w:szCs w:val="35"/>
          <w:color w:val="009A4B"/>
        </w:rPr>
        <w:t>Appendix B</w:t>
      </w:r>
    </w:p>
    <w:p>
      <w:pPr>
        <w:spacing w:after="0" w:line="221" w:lineRule="exact"/>
        <w:rPr>
          <w:sz w:val="20"/>
          <w:szCs w:val="20"/>
          <w:color w:val="auto"/>
        </w:rPr>
      </w:pPr>
    </w:p>
    <w:p>
      <w:pPr>
        <w:spacing w:after="0"/>
        <w:rPr>
          <w:sz w:val="20"/>
          <w:szCs w:val="20"/>
          <w:color w:val="auto"/>
        </w:rPr>
      </w:pPr>
      <w:r>
        <w:rPr>
          <w:rFonts w:ascii="Arial" w:cs="Arial" w:eastAsia="Arial" w:hAnsi="Arial"/>
          <w:sz w:val="28"/>
          <w:szCs w:val="28"/>
          <w:color w:val="009A4B"/>
        </w:rPr>
        <w:t>Survey Reference Group</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0" w:type="dxa"/>
            <w:vAlign w:val="bottom"/>
          </w:tcPr>
          <w:p>
            <w:pPr>
              <w:spacing w:after="0"/>
              <w:rPr>
                <w:sz w:val="20"/>
                <w:szCs w:val="20"/>
                <w:color w:val="auto"/>
              </w:rPr>
            </w:pPr>
            <w:r>
              <w:rPr>
                <w:rFonts w:ascii="Arial" w:cs="Arial" w:eastAsia="Arial" w:hAnsi="Arial"/>
                <w:sz w:val="16"/>
                <w:szCs w:val="16"/>
                <w:color w:val="auto"/>
              </w:rPr>
              <w:t>Alcoa Corporation</w:t>
            </w:r>
          </w:p>
        </w:tc>
        <w:tc>
          <w:tcPr>
            <w:tcW w:w="3640" w:type="dxa"/>
            <w:vAlign w:val="bottom"/>
          </w:tcPr>
          <w:p>
            <w:pPr>
              <w:ind w:left="680"/>
              <w:spacing w:after="0"/>
              <w:rPr>
                <w:sz w:val="20"/>
                <w:szCs w:val="20"/>
                <w:color w:val="auto"/>
              </w:rPr>
            </w:pPr>
            <w:r>
              <w:rPr>
                <w:rFonts w:ascii="Arial" w:cs="Arial" w:eastAsia="Arial" w:hAnsi="Arial"/>
                <w:sz w:val="16"/>
                <w:szCs w:val="16"/>
                <w:color w:val="auto"/>
              </w:rPr>
              <w:t>Dometic Group AB</w:t>
            </w:r>
          </w:p>
        </w:tc>
        <w:tc>
          <w:tcPr>
            <w:tcW w:w="4020" w:type="dxa"/>
            <w:vAlign w:val="bottom"/>
          </w:tcPr>
          <w:p>
            <w:pPr>
              <w:ind w:left="520"/>
              <w:spacing w:after="0"/>
              <w:rPr>
                <w:sz w:val="20"/>
                <w:szCs w:val="20"/>
                <w:color w:val="auto"/>
              </w:rPr>
            </w:pPr>
            <w:r>
              <w:rPr>
                <w:rFonts w:ascii="Arial" w:cs="Arial" w:eastAsia="Arial" w:hAnsi="Arial"/>
                <w:sz w:val="16"/>
                <w:szCs w:val="16"/>
                <w:color w:val="auto"/>
              </w:rPr>
              <w:t>Owens Corning</w:t>
            </w:r>
          </w:p>
        </w:tc>
      </w:tr>
      <w:tr>
        <w:trPr>
          <w:trHeight w:val="293"/>
        </w:trPr>
        <w:tc>
          <w:tcPr>
            <w:tcW w:w="3600" w:type="dxa"/>
            <w:vAlign w:val="bottom"/>
          </w:tcPr>
          <w:p>
            <w:pPr>
              <w:spacing w:after="0"/>
              <w:rPr>
                <w:sz w:val="20"/>
                <w:szCs w:val="20"/>
                <w:color w:val="auto"/>
              </w:rPr>
            </w:pPr>
            <w:r>
              <w:rPr>
                <w:rFonts w:ascii="Arial" w:cs="Arial" w:eastAsia="Arial" w:hAnsi="Arial"/>
                <w:sz w:val="16"/>
                <w:szCs w:val="16"/>
                <w:color w:val="auto"/>
              </w:rPr>
              <w:t>Arconic Corporation</w:t>
            </w:r>
          </w:p>
        </w:tc>
        <w:tc>
          <w:tcPr>
            <w:tcW w:w="3640" w:type="dxa"/>
            <w:vAlign w:val="bottom"/>
          </w:tcPr>
          <w:p>
            <w:pPr>
              <w:ind w:left="680"/>
              <w:spacing w:after="0"/>
              <w:rPr>
                <w:sz w:val="20"/>
                <w:szCs w:val="20"/>
                <w:color w:val="auto"/>
              </w:rPr>
            </w:pPr>
            <w:r>
              <w:rPr>
                <w:rFonts w:ascii="Arial" w:cs="Arial" w:eastAsia="Arial" w:hAnsi="Arial"/>
                <w:sz w:val="16"/>
                <w:szCs w:val="16"/>
                <w:color w:val="auto"/>
              </w:rPr>
              <w:t>Dover Corporation</w:t>
            </w:r>
          </w:p>
        </w:tc>
        <w:tc>
          <w:tcPr>
            <w:tcW w:w="4020" w:type="dxa"/>
            <w:vAlign w:val="bottom"/>
          </w:tcPr>
          <w:p>
            <w:pPr>
              <w:ind w:left="520"/>
              <w:spacing w:after="0"/>
              <w:rPr>
                <w:sz w:val="20"/>
                <w:szCs w:val="20"/>
                <w:color w:val="auto"/>
              </w:rPr>
            </w:pPr>
            <w:r>
              <w:rPr>
                <w:rFonts w:ascii="Arial" w:cs="Arial" w:eastAsia="Arial" w:hAnsi="Arial"/>
                <w:sz w:val="16"/>
                <w:szCs w:val="16"/>
                <w:color w:val="auto"/>
              </w:rPr>
              <w:t>Parker-Hannifin Corporation</w:t>
            </w:r>
          </w:p>
        </w:tc>
      </w:tr>
      <w:tr>
        <w:trPr>
          <w:trHeight w:val="293"/>
        </w:trPr>
        <w:tc>
          <w:tcPr>
            <w:tcW w:w="3600" w:type="dxa"/>
            <w:vAlign w:val="bottom"/>
          </w:tcPr>
          <w:p>
            <w:pPr>
              <w:spacing w:after="0"/>
              <w:rPr>
                <w:sz w:val="20"/>
                <w:szCs w:val="20"/>
                <w:color w:val="auto"/>
              </w:rPr>
            </w:pPr>
            <w:r>
              <w:rPr>
                <w:rFonts w:ascii="Arial" w:cs="Arial" w:eastAsia="Arial" w:hAnsi="Arial"/>
                <w:sz w:val="16"/>
                <w:szCs w:val="16"/>
                <w:color w:val="auto"/>
              </w:rPr>
              <w:t>Avery Dennison Corporation</w:t>
            </w:r>
          </w:p>
        </w:tc>
        <w:tc>
          <w:tcPr>
            <w:tcW w:w="3640" w:type="dxa"/>
            <w:vAlign w:val="bottom"/>
          </w:tcPr>
          <w:p>
            <w:pPr>
              <w:ind w:left="680"/>
              <w:spacing w:after="0"/>
              <w:rPr>
                <w:sz w:val="20"/>
                <w:szCs w:val="20"/>
                <w:color w:val="auto"/>
              </w:rPr>
            </w:pPr>
            <w:r>
              <w:rPr>
                <w:rFonts w:ascii="Arial" w:cs="Arial" w:eastAsia="Arial" w:hAnsi="Arial"/>
                <w:sz w:val="16"/>
                <w:szCs w:val="16"/>
                <w:color w:val="auto"/>
              </w:rPr>
              <w:t>Eastman Chemical Company</w:t>
            </w:r>
          </w:p>
        </w:tc>
        <w:tc>
          <w:tcPr>
            <w:tcW w:w="4020" w:type="dxa"/>
            <w:vAlign w:val="bottom"/>
          </w:tcPr>
          <w:p>
            <w:pPr>
              <w:ind w:left="520"/>
              <w:spacing w:after="0"/>
              <w:rPr>
                <w:sz w:val="20"/>
                <w:szCs w:val="20"/>
                <w:color w:val="auto"/>
              </w:rPr>
            </w:pPr>
            <w:r>
              <w:rPr>
                <w:rFonts w:ascii="Arial" w:cs="Arial" w:eastAsia="Arial" w:hAnsi="Arial"/>
                <w:sz w:val="16"/>
                <w:szCs w:val="16"/>
                <w:color w:val="auto"/>
              </w:rPr>
              <w:t>Rockwell Automation, Inc.</w:t>
            </w:r>
          </w:p>
        </w:tc>
      </w:tr>
      <w:tr>
        <w:trPr>
          <w:trHeight w:val="293"/>
        </w:trPr>
        <w:tc>
          <w:tcPr>
            <w:tcW w:w="3600" w:type="dxa"/>
            <w:vAlign w:val="bottom"/>
          </w:tcPr>
          <w:p>
            <w:pPr>
              <w:spacing w:after="0"/>
              <w:rPr>
                <w:sz w:val="20"/>
                <w:szCs w:val="20"/>
                <w:color w:val="auto"/>
              </w:rPr>
            </w:pPr>
            <w:r>
              <w:rPr>
                <w:rFonts w:ascii="Arial" w:cs="Arial" w:eastAsia="Arial" w:hAnsi="Arial"/>
                <w:sz w:val="16"/>
                <w:szCs w:val="16"/>
                <w:color w:val="auto"/>
              </w:rPr>
              <w:t>Becton, Dickinson and Company</w:t>
            </w:r>
          </w:p>
        </w:tc>
        <w:tc>
          <w:tcPr>
            <w:tcW w:w="3640" w:type="dxa"/>
            <w:vAlign w:val="bottom"/>
          </w:tcPr>
          <w:p>
            <w:pPr>
              <w:ind w:left="680"/>
              <w:spacing w:after="0"/>
              <w:rPr>
                <w:sz w:val="20"/>
                <w:szCs w:val="20"/>
                <w:color w:val="auto"/>
              </w:rPr>
            </w:pPr>
            <w:r>
              <w:rPr>
                <w:rFonts w:ascii="Arial" w:cs="Arial" w:eastAsia="Arial" w:hAnsi="Arial"/>
                <w:sz w:val="16"/>
                <w:szCs w:val="16"/>
                <w:color w:val="auto"/>
              </w:rPr>
              <w:t>Ecolab Inc.</w:t>
            </w:r>
          </w:p>
        </w:tc>
        <w:tc>
          <w:tcPr>
            <w:tcW w:w="4020" w:type="dxa"/>
            <w:vAlign w:val="bottom"/>
          </w:tcPr>
          <w:p>
            <w:pPr>
              <w:ind w:left="520"/>
              <w:spacing w:after="0"/>
              <w:rPr>
                <w:sz w:val="20"/>
                <w:szCs w:val="20"/>
                <w:color w:val="auto"/>
              </w:rPr>
            </w:pPr>
            <w:r>
              <w:rPr>
                <w:rFonts w:ascii="Arial" w:cs="Arial" w:eastAsia="Arial" w:hAnsi="Arial"/>
                <w:sz w:val="16"/>
                <w:szCs w:val="16"/>
                <w:color w:val="auto"/>
              </w:rPr>
              <w:t>Sealed Air Corporation</w:t>
            </w:r>
          </w:p>
        </w:tc>
      </w:tr>
      <w:tr>
        <w:trPr>
          <w:trHeight w:val="293"/>
        </w:trPr>
        <w:tc>
          <w:tcPr>
            <w:tcW w:w="3600" w:type="dxa"/>
            <w:vAlign w:val="bottom"/>
          </w:tcPr>
          <w:p>
            <w:pPr>
              <w:spacing w:after="0"/>
              <w:rPr>
                <w:sz w:val="20"/>
                <w:szCs w:val="20"/>
                <w:color w:val="auto"/>
              </w:rPr>
            </w:pPr>
            <w:r>
              <w:rPr>
                <w:rFonts w:ascii="Arial" w:cs="Arial" w:eastAsia="Arial" w:hAnsi="Arial"/>
                <w:sz w:val="16"/>
                <w:szCs w:val="16"/>
                <w:color w:val="auto"/>
              </w:rPr>
              <w:t>Ball Corporation</w:t>
            </w:r>
          </w:p>
        </w:tc>
        <w:tc>
          <w:tcPr>
            <w:tcW w:w="3640" w:type="dxa"/>
            <w:vAlign w:val="bottom"/>
          </w:tcPr>
          <w:p>
            <w:pPr>
              <w:ind w:left="680"/>
              <w:spacing w:after="0"/>
              <w:rPr>
                <w:sz w:val="20"/>
                <w:szCs w:val="20"/>
                <w:color w:val="auto"/>
              </w:rPr>
            </w:pPr>
            <w:r>
              <w:rPr>
                <w:rFonts w:ascii="Arial" w:cs="Arial" w:eastAsia="Arial" w:hAnsi="Arial"/>
                <w:sz w:val="16"/>
                <w:szCs w:val="16"/>
                <w:color w:val="auto"/>
              </w:rPr>
              <w:t>The Estée Lauder Companies Inc.</w:t>
            </w:r>
          </w:p>
        </w:tc>
        <w:tc>
          <w:tcPr>
            <w:tcW w:w="4020" w:type="dxa"/>
            <w:vAlign w:val="bottom"/>
          </w:tcPr>
          <w:p>
            <w:pPr>
              <w:ind w:left="520"/>
              <w:spacing w:after="0"/>
              <w:rPr>
                <w:sz w:val="20"/>
                <w:szCs w:val="20"/>
                <w:color w:val="auto"/>
              </w:rPr>
            </w:pPr>
            <w:r>
              <w:rPr>
                <w:rFonts w:ascii="Arial" w:cs="Arial" w:eastAsia="Arial" w:hAnsi="Arial"/>
                <w:sz w:val="16"/>
                <w:szCs w:val="16"/>
                <w:color w:val="auto"/>
              </w:rPr>
              <w:t>The Sherwin-Williams Company</w:t>
            </w:r>
          </w:p>
        </w:tc>
      </w:tr>
      <w:tr>
        <w:trPr>
          <w:trHeight w:val="293"/>
        </w:trPr>
        <w:tc>
          <w:tcPr>
            <w:tcW w:w="3600" w:type="dxa"/>
            <w:vAlign w:val="bottom"/>
          </w:tcPr>
          <w:p>
            <w:pPr>
              <w:spacing w:after="0"/>
              <w:rPr>
                <w:sz w:val="20"/>
                <w:szCs w:val="20"/>
                <w:color w:val="auto"/>
              </w:rPr>
            </w:pPr>
            <w:r>
              <w:rPr>
                <w:rFonts w:ascii="Arial" w:cs="Arial" w:eastAsia="Arial" w:hAnsi="Arial"/>
                <w:sz w:val="16"/>
                <w:szCs w:val="16"/>
                <w:color w:val="auto"/>
              </w:rPr>
              <w:t>Baxter International Inc.</w:t>
            </w:r>
          </w:p>
        </w:tc>
        <w:tc>
          <w:tcPr>
            <w:tcW w:w="3640" w:type="dxa"/>
            <w:vAlign w:val="bottom"/>
          </w:tcPr>
          <w:p>
            <w:pPr>
              <w:ind w:left="680"/>
              <w:spacing w:after="0"/>
              <w:rPr>
                <w:sz w:val="20"/>
                <w:szCs w:val="20"/>
                <w:color w:val="auto"/>
              </w:rPr>
            </w:pPr>
            <w:r>
              <w:rPr>
                <w:rFonts w:ascii="Arial" w:cs="Arial" w:eastAsia="Arial" w:hAnsi="Arial"/>
                <w:sz w:val="16"/>
                <w:szCs w:val="16"/>
                <w:color w:val="auto"/>
              </w:rPr>
              <w:t>Fortive Corporation</w:t>
            </w:r>
          </w:p>
        </w:tc>
        <w:tc>
          <w:tcPr>
            <w:tcW w:w="4020" w:type="dxa"/>
            <w:vAlign w:val="bottom"/>
          </w:tcPr>
          <w:p>
            <w:pPr>
              <w:ind w:left="520"/>
              <w:spacing w:after="0"/>
              <w:rPr>
                <w:sz w:val="20"/>
                <w:szCs w:val="20"/>
                <w:color w:val="auto"/>
              </w:rPr>
            </w:pPr>
            <w:r>
              <w:rPr>
                <w:rFonts w:ascii="Arial" w:cs="Arial" w:eastAsia="Arial" w:hAnsi="Arial"/>
                <w:sz w:val="16"/>
                <w:szCs w:val="16"/>
                <w:color w:val="auto"/>
              </w:rPr>
              <w:t>Siemens AG</w:t>
            </w:r>
          </w:p>
        </w:tc>
      </w:tr>
      <w:tr>
        <w:trPr>
          <w:trHeight w:val="293"/>
        </w:trPr>
        <w:tc>
          <w:tcPr>
            <w:tcW w:w="3600" w:type="dxa"/>
            <w:vAlign w:val="bottom"/>
          </w:tcPr>
          <w:p>
            <w:pPr>
              <w:spacing w:after="0"/>
              <w:rPr>
                <w:sz w:val="20"/>
                <w:szCs w:val="20"/>
                <w:color w:val="auto"/>
              </w:rPr>
            </w:pPr>
            <w:r>
              <w:rPr>
                <w:rFonts w:ascii="Arial" w:cs="Arial" w:eastAsia="Arial" w:hAnsi="Arial"/>
                <w:sz w:val="16"/>
                <w:szCs w:val="16"/>
                <w:color w:val="auto"/>
              </w:rPr>
              <w:t>BorgWarner Inc.</w:t>
            </w:r>
          </w:p>
        </w:tc>
        <w:tc>
          <w:tcPr>
            <w:tcW w:w="3640" w:type="dxa"/>
            <w:vAlign w:val="bottom"/>
          </w:tcPr>
          <w:p>
            <w:pPr>
              <w:ind w:left="680"/>
              <w:spacing w:after="0"/>
              <w:rPr>
                <w:sz w:val="20"/>
                <w:szCs w:val="20"/>
                <w:color w:val="auto"/>
              </w:rPr>
            </w:pPr>
            <w:r>
              <w:rPr>
                <w:rFonts w:ascii="Arial" w:cs="Arial" w:eastAsia="Arial" w:hAnsi="Arial"/>
                <w:sz w:val="16"/>
                <w:szCs w:val="16"/>
                <w:color w:val="auto"/>
              </w:rPr>
              <w:t>The Hershey Company</w:t>
            </w:r>
          </w:p>
        </w:tc>
        <w:tc>
          <w:tcPr>
            <w:tcW w:w="4020" w:type="dxa"/>
            <w:vAlign w:val="bottom"/>
          </w:tcPr>
          <w:p>
            <w:pPr>
              <w:ind w:left="520"/>
              <w:spacing w:after="0"/>
              <w:rPr>
                <w:sz w:val="20"/>
                <w:szCs w:val="20"/>
                <w:color w:val="auto"/>
              </w:rPr>
            </w:pPr>
            <w:r>
              <w:rPr>
                <w:rFonts w:ascii="Arial" w:cs="Arial" w:eastAsia="Arial" w:hAnsi="Arial"/>
                <w:sz w:val="16"/>
                <w:szCs w:val="16"/>
                <w:color w:val="auto"/>
              </w:rPr>
              <w:t>Stanley Black &amp; Decker, Inc.</w:t>
            </w:r>
          </w:p>
        </w:tc>
      </w:tr>
      <w:tr>
        <w:trPr>
          <w:trHeight w:val="293"/>
        </w:trPr>
        <w:tc>
          <w:tcPr>
            <w:tcW w:w="3600" w:type="dxa"/>
            <w:vAlign w:val="bottom"/>
          </w:tcPr>
          <w:p>
            <w:pPr>
              <w:spacing w:after="0"/>
              <w:rPr>
                <w:sz w:val="20"/>
                <w:szCs w:val="20"/>
                <w:color w:val="auto"/>
              </w:rPr>
            </w:pPr>
            <w:r>
              <w:rPr>
                <w:rFonts w:ascii="Arial" w:cs="Arial" w:eastAsia="Arial" w:hAnsi="Arial"/>
                <w:sz w:val="16"/>
                <w:szCs w:val="16"/>
                <w:color w:val="auto"/>
              </w:rPr>
              <w:t>Boston Scientific Corporation</w:t>
            </w:r>
          </w:p>
        </w:tc>
        <w:tc>
          <w:tcPr>
            <w:tcW w:w="3640" w:type="dxa"/>
            <w:vAlign w:val="bottom"/>
          </w:tcPr>
          <w:p>
            <w:pPr>
              <w:ind w:left="680"/>
              <w:spacing w:after="0"/>
              <w:rPr>
                <w:sz w:val="20"/>
                <w:szCs w:val="20"/>
                <w:color w:val="auto"/>
              </w:rPr>
            </w:pPr>
            <w:r>
              <w:rPr>
                <w:rFonts w:ascii="Arial" w:cs="Arial" w:eastAsia="Arial" w:hAnsi="Arial"/>
                <w:sz w:val="16"/>
                <w:szCs w:val="16"/>
                <w:color w:val="auto"/>
              </w:rPr>
              <w:t>Hormel Foods Corporation</w:t>
            </w:r>
          </w:p>
        </w:tc>
        <w:tc>
          <w:tcPr>
            <w:tcW w:w="4020" w:type="dxa"/>
            <w:vAlign w:val="bottom"/>
          </w:tcPr>
          <w:p>
            <w:pPr>
              <w:ind w:left="520"/>
              <w:spacing w:after="0"/>
              <w:rPr>
                <w:sz w:val="20"/>
                <w:szCs w:val="20"/>
                <w:color w:val="auto"/>
              </w:rPr>
            </w:pPr>
            <w:r>
              <w:rPr>
                <w:rFonts w:ascii="Arial" w:cs="Arial" w:eastAsia="Arial" w:hAnsi="Arial"/>
                <w:sz w:val="16"/>
                <w:szCs w:val="16"/>
                <w:color w:val="auto"/>
              </w:rPr>
              <w:t>Stryker Corporation</w:t>
            </w:r>
          </w:p>
        </w:tc>
      </w:tr>
      <w:tr>
        <w:trPr>
          <w:trHeight w:val="293"/>
        </w:trPr>
        <w:tc>
          <w:tcPr>
            <w:tcW w:w="3600" w:type="dxa"/>
            <w:vAlign w:val="bottom"/>
          </w:tcPr>
          <w:p>
            <w:pPr>
              <w:spacing w:after="0"/>
              <w:rPr>
                <w:sz w:val="20"/>
                <w:szCs w:val="20"/>
                <w:color w:val="auto"/>
              </w:rPr>
            </w:pPr>
            <w:r>
              <w:rPr>
                <w:rFonts w:ascii="Arial" w:cs="Arial" w:eastAsia="Arial" w:hAnsi="Arial"/>
                <w:sz w:val="16"/>
                <w:szCs w:val="16"/>
                <w:color w:val="auto"/>
              </w:rPr>
              <w:t>Campbell Soup Company</w:t>
            </w:r>
          </w:p>
        </w:tc>
        <w:tc>
          <w:tcPr>
            <w:tcW w:w="3640" w:type="dxa"/>
            <w:vAlign w:val="bottom"/>
          </w:tcPr>
          <w:p>
            <w:pPr>
              <w:ind w:left="680"/>
              <w:spacing w:after="0"/>
              <w:rPr>
                <w:sz w:val="20"/>
                <w:szCs w:val="20"/>
                <w:color w:val="auto"/>
              </w:rPr>
            </w:pPr>
            <w:r>
              <w:rPr>
                <w:rFonts w:ascii="Arial" w:cs="Arial" w:eastAsia="Arial" w:hAnsi="Arial"/>
                <w:sz w:val="16"/>
                <w:szCs w:val="16"/>
                <w:color w:val="auto"/>
              </w:rPr>
              <w:t>Illinois Tool Works Inc.</w:t>
            </w:r>
          </w:p>
        </w:tc>
        <w:tc>
          <w:tcPr>
            <w:tcW w:w="4020" w:type="dxa"/>
            <w:vAlign w:val="bottom"/>
          </w:tcPr>
          <w:p>
            <w:pPr>
              <w:ind w:left="520"/>
              <w:spacing w:after="0"/>
              <w:rPr>
                <w:sz w:val="20"/>
                <w:szCs w:val="20"/>
                <w:color w:val="auto"/>
              </w:rPr>
            </w:pPr>
            <w:r>
              <w:rPr>
                <w:rFonts w:ascii="Arial" w:cs="Arial" w:eastAsia="Arial" w:hAnsi="Arial"/>
                <w:sz w:val="16"/>
                <w:szCs w:val="16"/>
                <w:color w:val="auto"/>
              </w:rPr>
              <w:t>TE Connectivity Ltd.</w:t>
            </w:r>
          </w:p>
        </w:tc>
      </w:tr>
      <w:tr>
        <w:trPr>
          <w:trHeight w:val="293"/>
        </w:trPr>
        <w:tc>
          <w:tcPr>
            <w:tcW w:w="3600" w:type="dxa"/>
            <w:vAlign w:val="bottom"/>
          </w:tcPr>
          <w:p>
            <w:pPr>
              <w:spacing w:after="0"/>
              <w:rPr>
                <w:sz w:val="20"/>
                <w:szCs w:val="20"/>
                <w:color w:val="auto"/>
              </w:rPr>
            </w:pPr>
            <w:r>
              <w:rPr>
                <w:rFonts w:ascii="Arial" w:cs="Arial" w:eastAsia="Arial" w:hAnsi="Arial"/>
                <w:sz w:val="16"/>
                <w:szCs w:val="16"/>
                <w:color w:val="auto"/>
              </w:rPr>
              <w:t>Celanese Corporation</w:t>
            </w:r>
          </w:p>
        </w:tc>
        <w:tc>
          <w:tcPr>
            <w:tcW w:w="3640" w:type="dxa"/>
            <w:vAlign w:val="bottom"/>
          </w:tcPr>
          <w:p>
            <w:pPr>
              <w:ind w:left="680"/>
              <w:spacing w:after="0"/>
              <w:rPr>
                <w:sz w:val="20"/>
                <w:szCs w:val="20"/>
                <w:color w:val="auto"/>
              </w:rPr>
            </w:pPr>
            <w:r>
              <w:rPr>
                <w:rFonts w:ascii="Arial" w:cs="Arial" w:eastAsia="Arial" w:hAnsi="Arial"/>
                <w:sz w:val="16"/>
                <w:szCs w:val="16"/>
                <w:color w:val="auto"/>
              </w:rPr>
              <w:t>Jacobs Engineering Group Inc.</w:t>
            </w:r>
          </w:p>
        </w:tc>
        <w:tc>
          <w:tcPr>
            <w:tcW w:w="4020" w:type="dxa"/>
            <w:vAlign w:val="bottom"/>
          </w:tcPr>
          <w:p>
            <w:pPr>
              <w:ind w:left="520"/>
              <w:spacing w:after="0"/>
              <w:rPr>
                <w:sz w:val="20"/>
                <w:szCs w:val="20"/>
                <w:color w:val="auto"/>
              </w:rPr>
            </w:pPr>
            <w:r>
              <w:rPr>
                <w:rFonts w:ascii="Arial" w:cs="Arial" w:eastAsia="Arial" w:hAnsi="Arial"/>
                <w:sz w:val="16"/>
                <w:szCs w:val="16"/>
                <w:color w:val="auto"/>
              </w:rPr>
              <w:t>Textron Inc.</w:t>
            </w:r>
          </w:p>
        </w:tc>
      </w:tr>
      <w:tr>
        <w:trPr>
          <w:trHeight w:val="293"/>
        </w:trPr>
        <w:tc>
          <w:tcPr>
            <w:tcW w:w="3600" w:type="dxa"/>
            <w:vAlign w:val="bottom"/>
          </w:tcPr>
          <w:p>
            <w:pPr>
              <w:spacing w:after="0"/>
              <w:rPr>
                <w:sz w:val="20"/>
                <w:szCs w:val="20"/>
                <w:color w:val="auto"/>
              </w:rPr>
            </w:pPr>
            <w:r>
              <w:rPr>
                <w:rFonts w:ascii="Arial" w:cs="Arial" w:eastAsia="Arial" w:hAnsi="Arial"/>
                <w:sz w:val="16"/>
                <w:szCs w:val="16"/>
                <w:color w:val="auto"/>
              </w:rPr>
              <w:t>The Chemours Company</w:t>
            </w:r>
          </w:p>
        </w:tc>
        <w:tc>
          <w:tcPr>
            <w:tcW w:w="3640" w:type="dxa"/>
            <w:vAlign w:val="bottom"/>
          </w:tcPr>
          <w:p>
            <w:pPr>
              <w:ind w:left="680"/>
              <w:spacing w:after="0"/>
              <w:rPr>
                <w:sz w:val="20"/>
                <w:szCs w:val="20"/>
                <w:color w:val="auto"/>
              </w:rPr>
            </w:pPr>
            <w:r>
              <w:rPr>
                <w:rFonts w:ascii="Arial" w:cs="Arial" w:eastAsia="Arial" w:hAnsi="Arial"/>
                <w:sz w:val="16"/>
                <w:szCs w:val="16"/>
                <w:color w:val="auto"/>
              </w:rPr>
              <w:t>The J. M. Smucker Company</w:t>
            </w:r>
          </w:p>
        </w:tc>
        <w:tc>
          <w:tcPr>
            <w:tcW w:w="4020" w:type="dxa"/>
            <w:vAlign w:val="bottom"/>
          </w:tcPr>
          <w:p>
            <w:pPr>
              <w:ind w:left="520"/>
              <w:spacing w:after="0"/>
              <w:rPr>
                <w:sz w:val="20"/>
                <w:szCs w:val="20"/>
                <w:color w:val="auto"/>
              </w:rPr>
            </w:pPr>
            <w:r>
              <w:rPr>
                <w:rFonts w:ascii="Arial" w:cs="Arial" w:eastAsia="Arial" w:hAnsi="Arial"/>
                <w:sz w:val="16"/>
                <w:szCs w:val="16"/>
                <w:color w:val="auto"/>
              </w:rPr>
              <w:t>United States Steel Corporation</w:t>
            </w:r>
          </w:p>
        </w:tc>
      </w:tr>
      <w:tr>
        <w:trPr>
          <w:trHeight w:val="293"/>
        </w:trPr>
        <w:tc>
          <w:tcPr>
            <w:tcW w:w="3600" w:type="dxa"/>
            <w:vAlign w:val="bottom"/>
          </w:tcPr>
          <w:p>
            <w:pPr>
              <w:spacing w:after="0"/>
              <w:rPr>
                <w:sz w:val="20"/>
                <w:szCs w:val="20"/>
                <w:color w:val="auto"/>
              </w:rPr>
            </w:pPr>
            <w:r>
              <w:rPr>
                <w:rFonts w:ascii="Arial" w:cs="Arial" w:eastAsia="Arial" w:hAnsi="Arial"/>
                <w:sz w:val="16"/>
                <w:szCs w:val="16"/>
                <w:color w:val="auto"/>
              </w:rPr>
              <w:t>Chevron Phillips Chemical Company LLC</w:t>
            </w:r>
          </w:p>
        </w:tc>
        <w:tc>
          <w:tcPr>
            <w:tcW w:w="3640" w:type="dxa"/>
            <w:vAlign w:val="bottom"/>
          </w:tcPr>
          <w:p>
            <w:pPr>
              <w:ind w:left="680"/>
              <w:spacing w:after="0"/>
              <w:rPr>
                <w:sz w:val="20"/>
                <w:szCs w:val="20"/>
                <w:color w:val="auto"/>
              </w:rPr>
            </w:pPr>
            <w:r>
              <w:rPr>
                <w:rFonts w:ascii="Arial" w:cs="Arial" w:eastAsia="Arial" w:hAnsi="Arial"/>
                <w:sz w:val="16"/>
                <w:szCs w:val="16"/>
                <w:color w:val="auto"/>
              </w:rPr>
              <w:t>Kellogg Company</w:t>
            </w:r>
          </w:p>
        </w:tc>
        <w:tc>
          <w:tcPr>
            <w:tcW w:w="4020" w:type="dxa"/>
            <w:vAlign w:val="bottom"/>
          </w:tcPr>
          <w:p>
            <w:pPr>
              <w:ind w:left="520"/>
              <w:spacing w:after="0"/>
              <w:rPr>
                <w:sz w:val="20"/>
                <w:szCs w:val="20"/>
                <w:color w:val="auto"/>
              </w:rPr>
            </w:pPr>
            <w:r>
              <w:rPr>
                <w:rFonts w:ascii="Arial" w:cs="Arial" w:eastAsia="Arial" w:hAnsi="Arial"/>
                <w:sz w:val="16"/>
                <w:szCs w:val="16"/>
                <w:color w:val="auto"/>
              </w:rPr>
              <w:t>Univar Solutions Inc.</w:t>
            </w:r>
          </w:p>
        </w:tc>
      </w:tr>
      <w:tr>
        <w:trPr>
          <w:trHeight w:val="293"/>
        </w:trPr>
        <w:tc>
          <w:tcPr>
            <w:tcW w:w="3600" w:type="dxa"/>
            <w:vAlign w:val="bottom"/>
          </w:tcPr>
          <w:p>
            <w:pPr>
              <w:spacing w:after="0"/>
              <w:rPr>
                <w:sz w:val="20"/>
                <w:szCs w:val="20"/>
                <w:color w:val="auto"/>
              </w:rPr>
            </w:pPr>
            <w:r>
              <w:rPr>
                <w:rFonts w:ascii="Arial" w:cs="Arial" w:eastAsia="Arial" w:hAnsi="Arial"/>
                <w:sz w:val="16"/>
                <w:szCs w:val="16"/>
                <w:color w:val="auto"/>
              </w:rPr>
              <w:t>ConAgra Brands, Inc.</w:t>
            </w:r>
          </w:p>
        </w:tc>
        <w:tc>
          <w:tcPr>
            <w:tcW w:w="3640" w:type="dxa"/>
            <w:vAlign w:val="bottom"/>
          </w:tcPr>
          <w:p>
            <w:pPr>
              <w:ind w:left="680"/>
              <w:spacing w:after="0"/>
              <w:rPr>
                <w:sz w:val="20"/>
                <w:szCs w:val="20"/>
                <w:color w:val="auto"/>
              </w:rPr>
            </w:pPr>
            <w:r>
              <w:rPr>
                <w:rFonts w:ascii="Arial" w:cs="Arial" w:eastAsia="Arial" w:hAnsi="Arial"/>
                <w:sz w:val="16"/>
                <w:szCs w:val="16"/>
                <w:color w:val="auto"/>
              </w:rPr>
              <w:t>Keurig Dr Pepper Inc.</w:t>
            </w:r>
          </w:p>
        </w:tc>
        <w:tc>
          <w:tcPr>
            <w:tcW w:w="4020" w:type="dxa"/>
            <w:vAlign w:val="bottom"/>
          </w:tcPr>
          <w:p>
            <w:pPr>
              <w:ind w:left="520"/>
              <w:spacing w:after="0"/>
              <w:rPr>
                <w:sz w:val="20"/>
                <w:szCs w:val="20"/>
                <w:color w:val="auto"/>
              </w:rPr>
            </w:pPr>
            <w:r>
              <w:rPr>
                <w:rFonts w:ascii="Arial" w:cs="Arial" w:eastAsia="Arial" w:hAnsi="Arial"/>
                <w:sz w:val="16"/>
                <w:szCs w:val="16"/>
                <w:color w:val="auto"/>
              </w:rPr>
              <w:t>Westlake Chemical Corporation</w:t>
            </w:r>
          </w:p>
        </w:tc>
      </w:tr>
      <w:tr>
        <w:trPr>
          <w:trHeight w:val="293"/>
        </w:trPr>
        <w:tc>
          <w:tcPr>
            <w:tcW w:w="3600" w:type="dxa"/>
            <w:vAlign w:val="bottom"/>
          </w:tcPr>
          <w:p>
            <w:pPr>
              <w:spacing w:after="0"/>
              <w:rPr>
                <w:sz w:val="20"/>
                <w:szCs w:val="20"/>
                <w:color w:val="auto"/>
              </w:rPr>
            </w:pPr>
            <w:r>
              <w:rPr>
                <w:rFonts w:ascii="Arial" w:cs="Arial" w:eastAsia="Arial" w:hAnsi="Arial"/>
                <w:sz w:val="16"/>
                <w:szCs w:val="16"/>
                <w:color w:val="auto"/>
              </w:rPr>
              <w:t>Corning Incorporated</w:t>
            </w:r>
          </w:p>
        </w:tc>
        <w:tc>
          <w:tcPr>
            <w:tcW w:w="3640" w:type="dxa"/>
            <w:vAlign w:val="bottom"/>
          </w:tcPr>
          <w:p>
            <w:pPr>
              <w:ind w:left="680"/>
              <w:spacing w:after="0"/>
              <w:rPr>
                <w:sz w:val="20"/>
                <w:szCs w:val="20"/>
                <w:color w:val="auto"/>
              </w:rPr>
            </w:pPr>
            <w:r>
              <w:rPr>
                <w:rFonts w:ascii="Arial" w:cs="Arial" w:eastAsia="Arial" w:hAnsi="Arial"/>
                <w:sz w:val="16"/>
                <w:szCs w:val="16"/>
                <w:color w:val="auto"/>
              </w:rPr>
              <w:t>Masco Corporation</w:t>
            </w:r>
          </w:p>
        </w:tc>
        <w:tc>
          <w:tcPr>
            <w:tcW w:w="4020" w:type="dxa"/>
            <w:vAlign w:val="bottom"/>
          </w:tcPr>
          <w:p>
            <w:pPr>
              <w:ind w:left="520"/>
              <w:spacing w:after="0"/>
              <w:rPr>
                <w:sz w:val="20"/>
                <w:szCs w:val="20"/>
                <w:color w:val="auto"/>
              </w:rPr>
            </w:pPr>
            <w:r>
              <w:rPr>
                <w:rFonts w:ascii="Arial" w:cs="Arial" w:eastAsia="Arial" w:hAnsi="Arial"/>
                <w:sz w:val="16"/>
                <w:szCs w:val="16"/>
                <w:color w:val="auto"/>
              </w:rPr>
              <w:t>WestRock Company</w:t>
            </w:r>
          </w:p>
        </w:tc>
      </w:tr>
      <w:tr>
        <w:trPr>
          <w:trHeight w:val="293"/>
        </w:trPr>
        <w:tc>
          <w:tcPr>
            <w:tcW w:w="3600" w:type="dxa"/>
            <w:vAlign w:val="bottom"/>
          </w:tcPr>
          <w:p>
            <w:pPr>
              <w:spacing w:after="0"/>
              <w:rPr>
                <w:sz w:val="20"/>
                <w:szCs w:val="20"/>
                <w:color w:val="auto"/>
              </w:rPr>
            </w:pPr>
            <w:r>
              <w:rPr>
                <w:rFonts w:ascii="Arial" w:cs="Arial" w:eastAsia="Arial" w:hAnsi="Arial"/>
                <w:sz w:val="16"/>
                <w:szCs w:val="16"/>
                <w:color w:val="auto"/>
              </w:rPr>
              <w:t>Covestro AG</w:t>
            </w:r>
          </w:p>
        </w:tc>
        <w:tc>
          <w:tcPr>
            <w:tcW w:w="3640" w:type="dxa"/>
            <w:vAlign w:val="bottom"/>
          </w:tcPr>
          <w:p>
            <w:pPr>
              <w:ind w:left="680"/>
              <w:spacing w:after="0"/>
              <w:rPr>
                <w:sz w:val="20"/>
                <w:szCs w:val="20"/>
                <w:color w:val="auto"/>
              </w:rPr>
            </w:pPr>
            <w:r>
              <w:rPr>
                <w:rFonts w:ascii="Arial" w:cs="Arial" w:eastAsia="Arial" w:hAnsi="Arial"/>
                <w:sz w:val="16"/>
                <w:szCs w:val="16"/>
                <w:color w:val="auto"/>
              </w:rPr>
              <w:t>Molson Coors Beverage Company</w:t>
            </w:r>
          </w:p>
        </w:tc>
        <w:tc>
          <w:tcPr>
            <w:tcW w:w="4020" w:type="dxa"/>
            <w:vAlign w:val="bottom"/>
          </w:tcPr>
          <w:p>
            <w:pPr>
              <w:ind w:left="520"/>
              <w:spacing w:after="0"/>
              <w:rPr>
                <w:sz w:val="20"/>
                <w:szCs w:val="20"/>
                <w:color w:val="auto"/>
              </w:rPr>
            </w:pPr>
            <w:r>
              <w:rPr>
                <w:rFonts w:ascii="Arial" w:cs="Arial" w:eastAsia="Arial" w:hAnsi="Arial"/>
                <w:sz w:val="16"/>
                <w:szCs w:val="16"/>
                <w:color w:val="auto"/>
              </w:rPr>
              <w:t>Weyerhaeuser Company</w:t>
            </w:r>
          </w:p>
        </w:tc>
      </w:tr>
      <w:tr>
        <w:trPr>
          <w:trHeight w:val="293"/>
        </w:trPr>
        <w:tc>
          <w:tcPr>
            <w:tcW w:w="3600" w:type="dxa"/>
            <w:vAlign w:val="bottom"/>
          </w:tcPr>
          <w:p>
            <w:pPr>
              <w:spacing w:after="0"/>
              <w:rPr>
                <w:sz w:val="20"/>
                <w:szCs w:val="20"/>
                <w:color w:val="auto"/>
              </w:rPr>
            </w:pPr>
            <w:r>
              <w:rPr>
                <w:rFonts w:ascii="Arial" w:cs="Arial" w:eastAsia="Arial" w:hAnsi="Arial"/>
                <w:sz w:val="16"/>
                <w:szCs w:val="16"/>
                <w:color w:val="auto"/>
              </w:rPr>
              <w:t>Crown Holdings, Inc.</w:t>
            </w:r>
          </w:p>
        </w:tc>
        <w:tc>
          <w:tcPr>
            <w:tcW w:w="3640" w:type="dxa"/>
            <w:vAlign w:val="bottom"/>
          </w:tcPr>
          <w:p>
            <w:pPr>
              <w:ind w:left="680"/>
              <w:spacing w:after="0"/>
              <w:rPr>
                <w:sz w:val="20"/>
                <w:szCs w:val="20"/>
                <w:color w:val="auto"/>
              </w:rPr>
            </w:pPr>
            <w:r>
              <w:rPr>
                <w:rFonts w:ascii="Arial" w:cs="Arial" w:eastAsia="Arial" w:hAnsi="Arial"/>
                <w:sz w:val="16"/>
                <w:szCs w:val="16"/>
                <w:color w:val="auto"/>
              </w:rPr>
              <w:t>The Mosaic Company</w:t>
            </w:r>
          </w:p>
        </w:tc>
        <w:tc>
          <w:tcPr>
            <w:tcW w:w="4020" w:type="dxa"/>
            <w:vAlign w:val="bottom"/>
          </w:tcPr>
          <w:p>
            <w:pPr>
              <w:ind w:left="520"/>
              <w:spacing w:after="0"/>
              <w:rPr>
                <w:sz w:val="20"/>
                <w:szCs w:val="20"/>
                <w:color w:val="auto"/>
              </w:rPr>
            </w:pPr>
            <w:r>
              <w:rPr>
                <w:rFonts w:ascii="Arial" w:cs="Arial" w:eastAsia="Arial" w:hAnsi="Arial"/>
                <w:sz w:val="16"/>
                <w:szCs w:val="16"/>
                <w:color w:val="auto"/>
              </w:rPr>
              <w:t>The Williams Companies, Inc.</w:t>
            </w:r>
          </w:p>
        </w:tc>
      </w:tr>
      <w:tr>
        <w:trPr>
          <w:trHeight w:val="327"/>
        </w:trPr>
        <w:tc>
          <w:tcPr>
            <w:tcW w:w="36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020" w:type="dxa"/>
            <w:vAlign w:val="bottom"/>
          </w:tcPr>
          <w:p>
            <w:pPr>
              <w:ind w:left="2180"/>
              <w:spacing w:after="0"/>
              <w:rPr>
                <w:sz w:val="20"/>
                <w:szCs w:val="20"/>
                <w:color w:val="auto"/>
              </w:rPr>
            </w:pPr>
            <w:r>
              <w:rPr>
                <w:rFonts w:ascii="Arial" w:cs="Arial" w:eastAsia="Arial" w:hAnsi="Arial"/>
                <w:sz w:val="14"/>
                <w:szCs w:val="14"/>
                <w:color w:val="auto"/>
              </w:rPr>
              <w:t xml:space="preserve">2022 Proxy Statement   </w:t>
            </w:r>
            <w:r>
              <w:rPr>
                <w:rFonts w:ascii="Arial" w:cs="Arial" w:eastAsia="Arial" w:hAnsi="Arial"/>
                <w:sz w:val="14"/>
                <w:szCs w:val="14"/>
                <w:b w:val="1"/>
                <w:bCs w:val="1"/>
                <w:color w:val="auto"/>
              </w:rPr>
              <w:t>B-1</w:t>
            </w:r>
          </w:p>
        </w:tc>
      </w:tr>
      <w:tr>
        <w:trPr>
          <w:trHeight w:val="141"/>
        </w:trPr>
        <w:tc>
          <w:tcPr>
            <w:tcW w:w="3600" w:type="dxa"/>
            <w:vAlign w:val="bottom"/>
            <w:tcBorders>
              <w:bottom w:val="single" w:sz="8" w:color="808080"/>
            </w:tcBorders>
          </w:tcPr>
          <w:p>
            <w:pPr>
              <w:spacing w:after="0"/>
              <w:rPr>
                <w:sz w:val="12"/>
                <w:szCs w:val="12"/>
                <w:color w:val="auto"/>
              </w:rPr>
            </w:pPr>
          </w:p>
        </w:tc>
        <w:tc>
          <w:tcPr>
            <w:tcW w:w="3640" w:type="dxa"/>
            <w:vAlign w:val="bottom"/>
            <w:tcBorders>
              <w:bottom w:val="single" w:sz="8" w:color="808080"/>
            </w:tcBorders>
          </w:tcPr>
          <w:p>
            <w:pPr>
              <w:spacing w:after="0"/>
              <w:rPr>
                <w:sz w:val="12"/>
                <w:szCs w:val="12"/>
                <w:color w:val="auto"/>
              </w:rPr>
            </w:pPr>
          </w:p>
        </w:tc>
        <w:tc>
          <w:tcPr>
            <w:tcW w:w="40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-13970</wp:posOffset>
            </wp:positionV>
            <wp:extent cx="12700" cy="8255"/>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3934460</wp:posOffset>
            </wp:positionV>
            <wp:extent cx="2155190" cy="1022985"/>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2155190" cy="1022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580"/>
        <w:spacing w:after="0" w:line="245" w:lineRule="auto"/>
        <w:rPr>
          <w:sz w:val="20"/>
          <w:szCs w:val="20"/>
          <w:color w:val="auto"/>
        </w:rPr>
      </w:pPr>
      <w:r>
        <w:rPr>
          <w:rFonts w:ascii="Arial" w:cs="Arial" w:eastAsia="Arial" w:hAnsi="Arial"/>
          <w:sz w:val="16"/>
          <w:szCs w:val="16"/>
          <w:color w:val="auto"/>
        </w:rPr>
        <w:t>Air Products is the global hydrogen leader, with expertise and investment spanning the full supply chain— from production to transportation to consumer use at the final destination—and is a first mover in large-scale low-carbon and carbon-free hydrogen. Partnering with customers on their sustainability journey, we want to be the provider of choice for hydrogen solutions to address significant energy and environmental challenges in our world . . . moving us all toward a cleaner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490855</wp:posOffset>
            </wp:positionV>
            <wp:extent cx="7155180" cy="20955"/>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9A4B"/>
        </w:rPr>
        <w:t>For more information,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009A4B"/>
        </w:rPr>
        <w:t>please contact us at: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Headquarters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Air Products and Chemicals, Inc.</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1940 Air Products Blvd.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Allentown, PA 18106-5500</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 610-481-4911</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Secretary’s Office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Sean D. Major, Executive Vice President,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General Counsel and Secretary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 610-481-4880</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 Office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Simon Moore, Vice President,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 Corporate Relations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and Sustainability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 610-481-4426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1809115</wp:posOffset>
            </wp:positionV>
            <wp:extent cx="7155180" cy="991235"/>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7155180" cy="991235"/>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8"/>
          <w:szCs w:val="8"/>
          <w:i w:val="1"/>
          <w:iCs w:val="1"/>
          <w:color w:val="auto"/>
        </w:rPr>
        <w:t>AIR PRODUCTS AND CHEMICALS, INC.</w:t>
      </w:r>
    </w:p>
    <w:p>
      <w:pPr>
        <w:spacing w:after="0" w:line="237" w:lineRule="auto"/>
        <w:rPr>
          <w:sz w:val="20"/>
          <w:szCs w:val="20"/>
          <w:color w:val="auto"/>
        </w:rPr>
      </w:pPr>
      <w:r>
        <w:rPr>
          <w:rFonts w:ascii="Arial" w:cs="Arial" w:eastAsia="Arial" w:hAnsi="Arial"/>
          <w:sz w:val="9"/>
          <w:szCs w:val="9"/>
          <w:i w:val="1"/>
          <w:iCs w:val="1"/>
          <w:color w:val="auto"/>
        </w:rPr>
        <w:t>1940 AIR PRODUCTS BLVD.</w:t>
      </w:r>
    </w:p>
    <w:p>
      <w:pPr>
        <w:spacing w:after="0"/>
        <w:rPr>
          <w:sz w:val="20"/>
          <w:szCs w:val="20"/>
          <w:color w:val="auto"/>
        </w:rPr>
      </w:pPr>
      <w:r>
        <w:rPr>
          <w:rFonts w:ascii="Arial" w:cs="Arial" w:eastAsia="Arial" w:hAnsi="Arial"/>
          <w:sz w:val="9"/>
          <w:szCs w:val="9"/>
          <w:i w:val="1"/>
          <w:iCs w:val="1"/>
          <w:color w:val="auto"/>
        </w:rPr>
        <w:t>ALLENTOWN, PA 18106-5500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jc w:val="center"/>
        <w:ind w:right="2680"/>
        <w:spacing w:after="0"/>
        <w:rPr>
          <w:sz w:val="20"/>
          <w:szCs w:val="20"/>
          <w:color w:val="auto"/>
        </w:rPr>
      </w:pPr>
      <w:r>
        <w:rPr>
          <w:rFonts w:ascii="Arial" w:cs="Arial" w:eastAsia="Arial" w:hAnsi="Arial"/>
          <w:sz w:val="27"/>
          <w:szCs w:val="27"/>
          <w:b w:val="1"/>
          <w:bCs w:val="1"/>
          <w:color w:val="auto"/>
        </w:rPr>
        <w:t>SCAN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-233045</wp:posOffset>
            </wp:positionV>
            <wp:extent cx="253365" cy="414020"/>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253365" cy="414020"/>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-173990</wp:posOffset>
            </wp:positionV>
            <wp:extent cx="253365" cy="287655"/>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253365" cy="287655"/>
                    </a:xfrm>
                    <a:prstGeom prst="rect">
                      <a:avLst/>
                    </a:prstGeom>
                    <a:noFill/>
                  </pic:spPr>
                </pic:pic>
              </a:graphicData>
            </a:graphic>
          </wp:anchor>
        </w:drawing>
      </w:r>
    </w:p>
    <w:p>
      <w:pPr>
        <w:spacing w:after="0" w:line="16" w:lineRule="exact"/>
        <w:rPr>
          <w:sz w:val="20"/>
          <w:szCs w:val="20"/>
          <w:color w:val="auto"/>
        </w:rPr>
      </w:pPr>
    </w:p>
    <w:p>
      <w:pPr>
        <w:jc w:val="center"/>
        <w:ind w:right="2680"/>
        <w:spacing w:after="0"/>
        <w:rPr>
          <w:sz w:val="20"/>
          <w:szCs w:val="20"/>
          <w:color w:val="auto"/>
        </w:rPr>
      </w:pPr>
      <w:r>
        <w:rPr>
          <w:rFonts w:ascii="Arial" w:cs="Arial" w:eastAsia="Arial" w:hAnsi="Arial"/>
          <w:sz w:val="14"/>
          <w:szCs w:val="14"/>
          <w:b w:val="1"/>
          <w:bCs w:val="1"/>
          <w:color w:val="auto"/>
        </w:rPr>
        <w:t>VIEW MATERIALS &amp; VOTE</w:t>
      </w:r>
    </w:p>
    <w:p>
      <w:pPr>
        <w:spacing w:after="0" w:line="17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VOTE BY INTERNET</w:t>
      </w:r>
    </w:p>
    <w:p>
      <w:pPr>
        <w:spacing w:after="0" w:line="5"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 xml:space="preserve">Before The Meeting </w:t>
      </w:r>
      <w:r>
        <w:rPr>
          <w:rFonts w:ascii="Arial" w:cs="Arial" w:eastAsia="Arial" w:hAnsi="Arial"/>
          <w:sz w:val="11"/>
          <w:szCs w:val="11"/>
          <w:color w:val="auto"/>
        </w:rPr>
        <w:t>- Go to</w:t>
      </w:r>
      <w:r>
        <w:rPr>
          <w:rFonts w:ascii="Arial" w:cs="Arial" w:eastAsia="Arial" w:hAnsi="Arial"/>
          <w:sz w:val="11"/>
          <w:szCs w:val="11"/>
          <w:i w:val="1"/>
          <w:iCs w:val="1"/>
          <w:color w:val="auto"/>
        </w:rPr>
        <w:t xml:space="preserve"> </w:t>
      </w:r>
      <w:r>
        <w:rPr>
          <w:rFonts w:ascii="Arial" w:cs="Arial" w:eastAsia="Arial" w:hAnsi="Arial"/>
          <w:sz w:val="11"/>
          <w:szCs w:val="11"/>
          <w:b w:val="1"/>
          <w:bCs w:val="1"/>
          <w:u w:val="single" w:color="auto"/>
          <w:color w:val="auto"/>
        </w:rPr>
        <w:t>www.proxyvote.com</w:t>
      </w:r>
      <w:r>
        <w:rPr>
          <w:rFonts w:ascii="Arial" w:cs="Arial" w:eastAsia="Arial" w:hAnsi="Arial"/>
          <w:sz w:val="11"/>
          <w:szCs w:val="11"/>
          <w:i w:val="1"/>
          <w:iCs w:val="1"/>
          <w:color w:val="auto"/>
        </w:rPr>
        <w:t xml:space="preserve"> </w:t>
      </w:r>
      <w:r>
        <w:rPr>
          <w:rFonts w:ascii="Arial" w:cs="Arial" w:eastAsia="Arial" w:hAnsi="Arial"/>
          <w:sz w:val="11"/>
          <w:szCs w:val="11"/>
          <w:b w:val="1"/>
          <w:bCs w:val="1"/>
          <w:color w:val="auto"/>
        </w:rPr>
        <w:t>or scan the QR Barcode above</w:t>
      </w:r>
    </w:p>
    <w:p>
      <w:pPr>
        <w:spacing w:after="0" w:line="100" w:lineRule="exact"/>
        <w:rPr>
          <w:sz w:val="20"/>
          <w:szCs w:val="20"/>
          <w:color w:val="auto"/>
        </w:rPr>
      </w:pPr>
    </w:p>
    <w:p>
      <w:pPr>
        <w:jc w:val="both"/>
        <w:spacing w:after="0" w:line="231" w:lineRule="auto"/>
        <w:rPr>
          <w:sz w:val="20"/>
          <w:szCs w:val="20"/>
          <w:color w:val="auto"/>
        </w:rPr>
      </w:pPr>
      <w:r>
        <w:rPr>
          <w:rFonts w:ascii="Arial" w:cs="Arial" w:eastAsia="Arial" w:hAnsi="Arial"/>
          <w:sz w:val="11"/>
          <w:szCs w:val="11"/>
          <w:color w:val="auto"/>
        </w:rPr>
        <w:t>Use the Internet to transmit your voting instructions and for electronic delivery of information up until 11:59 p.m. Eastern Time on February 2, 2022 (January 31, 2022 for Retirement Savings Plan Participants). Have your proxy card in hand when you access the website and follow the instructions to obtain your records and to create an electronic voting instruction form.</w:t>
      </w:r>
    </w:p>
    <w:p>
      <w:pPr>
        <w:spacing w:after="0" w:line="87"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 xml:space="preserve">During The Meeting </w:t>
      </w:r>
      <w:r>
        <w:rPr>
          <w:rFonts w:ascii="Arial" w:cs="Arial" w:eastAsia="Arial" w:hAnsi="Arial"/>
          <w:sz w:val="11"/>
          <w:szCs w:val="11"/>
          <w:color w:val="auto"/>
        </w:rPr>
        <w:t>- Go to</w:t>
      </w:r>
      <w:r>
        <w:rPr>
          <w:rFonts w:ascii="Arial" w:cs="Arial" w:eastAsia="Arial" w:hAnsi="Arial"/>
          <w:sz w:val="11"/>
          <w:szCs w:val="11"/>
          <w:i w:val="1"/>
          <w:iCs w:val="1"/>
          <w:color w:val="auto"/>
        </w:rPr>
        <w:t xml:space="preserve"> </w:t>
      </w:r>
      <w:r>
        <w:rPr>
          <w:rFonts w:ascii="Arial" w:cs="Arial" w:eastAsia="Arial" w:hAnsi="Arial"/>
          <w:sz w:val="11"/>
          <w:szCs w:val="11"/>
          <w:b w:val="1"/>
          <w:bCs w:val="1"/>
          <w:u w:val="single" w:color="auto"/>
          <w:color w:val="auto"/>
        </w:rPr>
        <w:t>www.virtualshareholdermeeting.com/APD2022</w:t>
      </w:r>
    </w:p>
    <w:p>
      <w:pPr>
        <w:spacing w:after="0" w:line="112" w:lineRule="exact"/>
        <w:rPr>
          <w:sz w:val="20"/>
          <w:szCs w:val="20"/>
          <w:color w:val="auto"/>
        </w:rPr>
      </w:pPr>
    </w:p>
    <w:p>
      <w:pPr>
        <w:jc w:val="both"/>
        <w:spacing w:after="0" w:line="235" w:lineRule="auto"/>
        <w:rPr>
          <w:sz w:val="20"/>
          <w:szCs w:val="20"/>
          <w:color w:val="auto"/>
        </w:rPr>
      </w:pPr>
      <w:r>
        <w:rPr>
          <w:rFonts w:ascii="Arial" w:cs="Arial" w:eastAsia="Arial" w:hAnsi="Arial"/>
          <w:sz w:val="11"/>
          <w:szCs w:val="11"/>
          <w:color w:val="auto"/>
        </w:rPr>
        <w:t>You may attend the meeting via the Internet and vote during the meeting. Have the information that is printed in the box marked by the arrow available and follow the instructions.</w:t>
      </w:r>
    </w:p>
    <w:p>
      <w:pPr>
        <w:spacing w:after="0" w:line="8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VOTE BY PHONE - 1-800-690-6903</w:t>
      </w:r>
    </w:p>
    <w:p>
      <w:pPr>
        <w:spacing w:after="0" w:line="5" w:lineRule="exact"/>
        <w:rPr>
          <w:sz w:val="20"/>
          <w:szCs w:val="20"/>
          <w:color w:val="auto"/>
        </w:rPr>
      </w:pPr>
    </w:p>
    <w:p>
      <w:pPr>
        <w:jc w:val="both"/>
        <w:spacing w:after="0" w:line="232" w:lineRule="auto"/>
        <w:rPr>
          <w:sz w:val="20"/>
          <w:szCs w:val="20"/>
          <w:color w:val="auto"/>
        </w:rPr>
      </w:pPr>
      <w:r>
        <w:rPr>
          <w:rFonts w:ascii="Arial" w:cs="Arial" w:eastAsia="Arial" w:hAnsi="Arial"/>
          <w:sz w:val="11"/>
          <w:szCs w:val="11"/>
          <w:color w:val="auto"/>
        </w:rPr>
        <w:t>Use any touch-tone telephone to transmit your voting instructions up until 11:59 p.m. Eastern Time on February 2, 2022 (January 31, 2022 for Retirement Savings Plan Participants). Have your proxy card in hand when you call and then follow the instructions.</w:t>
      </w:r>
    </w:p>
    <w:p>
      <w:pPr>
        <w:spacing w:after="0" w:line="8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VOTE BY MAIL</w:t>
      </w:r>
    </w:p>
    <w:p>
      <w:pPr>
        <w:spacing w:after="0" w:line="5" w:lineRule="exact"/>
        <w:rPr>
          <w:sz w:val="20"/>
          <w:szCs w:val="20"/>
          <w:color w:val="auto"/>
        </w:rPr>
      </w:pPr>
    </w:p>
    <w:p>
      <w:pPr>
        <w:jc w:val="both"/>
        <w:spacing w:after="0" w:line="235" w:lineRule="auto"/>
        <w:rPr>
          <w:sz w:val="20"/>
          <w:szCs w:val="20"/>
          <w:color w:val="auto"/>
        </w:rPr>
      </w:pPr>
      <w:r>
        <w:rPr>
          <w:rFonts w:ascii="Arial" w:cs="Arial" w:eastAsia="Arial" w:hAnsi="Arial"/>
          <w:sz w:val="11"/>
          <w:szCs w:val="11"/>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900" w:space="720"/>
            <w:col w:w="5620"/>
          </w:cols>
          <w:pgMar w:left="320" w:top="140" w:right="339" w:bottom="1440" w:gutter="0" w:footer="0" w:header="0"/>
        </w:sectPr>
      </w:pPr>
    </w:p>
    <w:p>
      <w:pPr>
        <w:spacing w:after="0" w:line="370"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tbl>
      <w:tblPr>
        <w:tblLayout w:type="fixed"/>
        <w:tblInd w:w="6160" w:type="dxa"/>
        <w:tblCellMar>
          <w:top w:w="0" w:type="dxa"/>
          <w:left w:w="0" w:type="dxa"/>
          <w:bottom w:w="0" w:type="dxa"/>
          <w:right w:w="0" w:type="dxa"/>
        </w:tblCellMar>
      </w:tblPr>
      <w:tr>
        <w:trPr>
          <w:trHeight w:val="148"/>
        </w:trPr>
        <w:tc>
          <w:tcPr>
            <w:tcW w:w="1920" w:type="dxa"/>
            <w:vAlign w:val="bottom"/>
          </w:tcPr>
          <w:p>
            <w:pPr>
              <w:spacing w:after="0"/>
              <w:rPr>
                <w:sz w:val="20"/>
                <w:szCs w:val="20"/>
                <w:color w:val="auto"/>
              </w:rPr>
            </w:pPr>
            <w:r>
              <w:rPr>
                <w:rFonts w:ascii="Arial" w:cs="Arial" w:eastAsia="Arial" w:hAnsi="Arial"/>
                <w:sz w:val="12"/>
                <w:szCs w:val="12"/>
                <w:color w:val="auto"/>
              </w:rPr>
              <w:t>D62741-P64201-Z81424</w:t>
            </w:r>
          </w:p>
        </w:tc>
        <w:tc>
          <w:tcPr>
            <w:tcW w:w="3160" w:type="dxa"/>
            <w:vAlign w:val="bottom"/>
          </w:tcPr>
          <w:p>
            <w:pPr>
              <w:jc w:val="right"/>
              <w:spacing w:after="0"/>
              <w:rPr>
                <w:sz w:val="20"/>
                <w:szCs w:val="20"/>
                <w:color w:val="auto"/>
              </w:rPr>
            </w:pPr>
            <w:r>
              <w:rPr>
                <w:rFonts w:ascii="Arial" w:cs="Arial" w:eastAsia="Arial" w:hAnsi="Arial"/>
                <w:sz w:val="12"/>
                <w:szCs w:val="12"/>
                <w:color w:val="auto"/>
              </w:rPr>
              <w:t>KEEP THIS PORTION FOR YOUR RECORDS</w:t>
            </w:r>
          </w:p>
        </w:tc>
      </w:tr>
      <w:tr>
        <w:trPr>
          <w:trHeight w:val="155"/>
        </w:trPr>
        <w:tc>
          <w:tcPr>
            <w:tcW w:w="1920" w:type="dxa"/>
            <w:vAlign w:val="bottom"/>
          </w:tcPr>
          <w:p>
            <w:pPr>
              <w:spacing w:after="0"/>
              <w:rPr>
                <w:sz w:val="13"/>
                <w:szCs w:val="13"/>
                <w:color w:val="auto"/>
              </w:rPr>
            </w:pPr>
          </w:p>
        </w:tc>
        <w:tc>
          <w:tcPr>
            <w:tcW w:w="3160" w:type="dxa"/>
            <w:vAlign w:val="bottom"/>
          </w:tcPr>
          <w:p>
            <w:pPr>
              <w:jc w:val="right"/>
              <w:spacing w:after="0"/>
              <w:rPr>
                <w:sz w:val="20"/>
                <w:szCs w:val="20"/>
                <w:color w:val="auto"/>
              </w:rPr>
            </w:pPr>
            <w:r>
              <w:rPr>
                <w:rFonts w:ascii="Arial" w:cs="Arial" w:eastAsia="Arial" w:hAnsi="Arial"/>
                <w:sz w:val="12"/>
                <w:szCs w:val="12"/>
                <w:color w:val="auto"/>
              </w:rPr>
              <w:t>DETACH AND RETURN THIS PORTION ONLY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-116205</wp:posOffset>
            </wp:positionV>
            <wp:extent cx="7159625" cy="42545"/>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32385</wp:posOffset>
            </wp:positionV>
            <wp:extent cx="7129780" cy="3249930"/>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7129780" cy="3249930"/>
                    </a:xfrm>
                    <a:prstGeom prst="rect">
                      <a:avLst/>
                    </a:prstGeom>
                    <a:noFill/>
                  </pic:spPr>
                </pic:pic>
              </a:graphicData>
            </a:graphic>
          </wp:anchor>
        </w:drawing>
      </w:r>
    </w:p>
    <w:p>
      <w:pPr>
        <w:spacing w:after="0" w:line="141"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auto"/>
        </w:rPr>
        <w:t>AIR PRODUCTS AND CHEMICALS, INC.</w:t>
      </w:r>
    </w:p>
    <w:p>
      <w:pPr>
        <w:sectPr>
          <w:pgSz w:w="11900" w:h="16838" w:orient="portrait"/>
          <w:cols w:equalWidth="0" w:num="1">
            <w:col w:w="11240"/>
          </w:cols>
          <w:pgMar w:left="320" w:top="140" w:right="339" w:bottom="1440" w:gutter="0" w:footer="0" w:header="0"/>
          <w:type w:val="continuous"/>
        </w:sectPr>
      </w:pPr>
    </w:p>
    <w:p>
      <w:pPr>
        <w:spacing w:after="0" w:line="235" w:lineRule="exact"/>
        <w:rPr>
          <w:sz w:val="20"/>
          <w:szCs w:val="20"/>
          <w:color w:val="auto"/>
        </w:rPr>
      </w:pPr>
    </w:p>
    <w:p>
      <w:pPr>
        <w:ind w:left="320" w:right="1420"/>
        <w:spacing w:after="0" w:line="273" w:lineRule="auto"/>
        <w:rPr>
          <w:sz w:val="20"/>
          <w:szCs w:val="20"/>
          <w:color w:val="auto"/>
        </w:rPr>
      </w:pPr>
      <w:r>
        <w:rPr>
          <w:rFonts w:ascii="Arial" w:cs="Arial" w:eastAsia="Arial" w:hAnsi="Arial"/>
          <w:sz w:val="12"/>
          <w:szCs w:val="12"/>
          <w:b w:val="1"/>
          <w:bCs w:val="1"/>
          <w:color w:val="auto"/>
        </w:rPr>
        <w:t>The Board of Directors recommends you vote FOR each of the following:</w:t>
      </w:r>
    </w:p>
    <w:p>
      <w:pPr>
        <w:spacing w:after="0" w:line="99" w:lineRule="exact"/>
        <w:rPr>
          <w:sz w:val="20"/>
          <w:szCs w:val="20"/>
          <w:color w:val="auto"/>
        </w:rPr>
      </w:pPr>
    </w:p>
    <w:p>
      <w:pPr>
        <w:ind w:left="600" w:hanging="283"/>
        <w:spacing w:after="0"/>
        <w:tabs>
          <w:tab w:leader="none" w:pos="600" w:val="left"/>
        </w:tabs>
        <w:numPr>
          <w:ilvl w:val="0"/>
          <w:numId w:val="79"/>
        </w:numPr>
        <w:rPr>
          <w:rFonts w:ascii="Arial" w:cs="Arial" w:eastAsia="Arial" w:hAnsi="Arial"/>
          <w:sz w:val="12"/>
          <w:szCs w:val="12"/>
          <w:color w:val="auto"/>
        </w:rPr>
      </w:pPr>
      <w:r>
        <w:rPr>
          <w:rFonts w:ascii="Arial" w:cs="Arial" w:eastAsia="Arial" w:hAnsi="Arial"/>
          <w:sz w:val="12"/>
          <w:szCs w:val="12"/>
          <w:color w:val="auto"/>
        </w:rPr>
        <w:t>Election of Directors</w:t>
      </w:r>
    </w:p>
    <w:p>
      <w:pPr>
        <w:spacing w:after="0" w:line="114" w:lineRule="exact"/>
        <w:rPr>
          <w:sz w:val="20"/>
          <w:szCs w:val="20"/>
          <w:color w:val="auto"/>
        </w:rPr>
      </w:pPr>
    </w:p>
    <w:tbl>
      <w:tblPr>
        <w:tblLayout w:type="fixed"/>
        <w:tblInd w:w="600" w:type="dxa"/>
        <w:tblCellMar>
          <w:top w:w="0" w:type="dxa"/>
          <w:left w:w="0" w:type="dxa"/>
          <w:bottom w:w="0" w:type="dxa"/>
          <w:right w:w="0" w:type="dxa"/>
        </w:tblCellMar>
      </w:tblPr>
      <w:tr>
        <w:trPr>
          <w:trHeight w:val="162"/>
        </w:trPr>
        <w:tc>
          <w:tcPr>
            <w:tcW w:w="2460" w:type="dxa"/>
            <w:vAlign w:val="bottom"/>
            <w:gridSpan w:val="2"/>
          </w:tcPr>
          <w:p>
            <w:pPr>
              <w:spacing w:after="0"/>
              <w:rPr>
                <w:sz w:val="20"/>
                <w:szCs w:val="20"/>
                <w:color w:val="auto"/>
              </w:rPr>
            </w:pPr>
            <w:r>
              <w:rPr>
                <w:rFonts w:ascii="Arial" w:cs="Arial" w:eastAsia="Arial" w:hAnsi="Arial"/>
                <w:sz w:val="12"/>
                <w:szCs w:val="12"/>
                <w:b w:val="1"/>
                <w:bCs w:val="1"/>
                <w:color w:val="auto"/>
              </w:rPr>
              <w:t>Nominees:</w:t>
            </w:r>
          </w:p>
        </w:tc>
        <w:tc>
          <w:tcPr>
            <w:tcW w:w="1380" w:type="dxa"/>
            <w:vAlign w:val="bottom"/>
          </w:tcPr>
          <w:p>
            <w:pPr>
              <w:jc w:val="center"/>
              <w:ind w:left="958"/>
              <w:spacing w:after="0"/>
              <w:rPr>
                <w:sz w:val="20"/>
                <w:szCs w:val="20"/>
                <w:color w:val="auto"/>
              </w:rPr>
            </w:pPr>
            <w:r>
              <w:rPr>
                <w:rFonts w:ascii="Arial" w:cs="Arial" w:eastAsia="Arial" w:hAnsi="Arial"/>
                <w:sz w:val="12"/>
                <w:szCs w:val="12"/>
                <w:b w:val="1"/>
                <w:bCs w:val="1"/>
                <w:color w:val="auto"/>
              </w:rPr>
              <w:t>For</w:t>
            </w: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rPr>
              <w:t>Against</w:t>
            </w:r>
          </w:p>
        </w:tc>
        <w:tc>
          <w:tcPr>
            <w:tcW w:w="520" w:type="dxa"/>
            <w:vAlign w:val="bottom"/>
          </w:tcPr>
          <w:p>
            <w:pPr>
              <w:jc w:val="center"/>
              <w:ind w:left="18"/>
              <w:spacing w:after="0"/>
              <w:rPr>
                <w:sz w:val="20"/>
                <w:szCs w:val="20"/>
                <w:color w:val="auto"/>
              </w:rPr>
            </w:pPr>
            <w:r>
              <w:rPr>
                <w:rFonts w:ascii="Arial" w:cs="Arial" w:eastAsia="Arial" w:hAnsi="Arial"/>
                <w:sz w:val="12"/>
                <w:szCs w:val="12"/>
                <w:b w:val="1"/>
                <w:bCs w:val="1"/>
                <w:color w:val="auto"/>
                <w:w w:val="99"/>
              </w:rPr>
              <w:t>Abstain</w:t>
            </w:r>
          </w:p>
        </w:tc>
      </w:tr>
      <w:tr>
        <w:trPr>
          <w:trHeight w:val="266"/>
        </w:trPr>
        <w:tc>
          <w:tcPr>
            <w:tcW w:w="260" w:type="dxa"/>
            <w:vAlign w:val="bottom"/>
          </w:tcPr>
          <w:p>
            <w:pPr>
              <w:spacing w:after="0"/>
              <w:rPr>
                <w:sz w:val="20"/>
                <w:szCs w:val="20"/>
                <w:color w:val="auto"/>
              </w:rPr>
            </w:pPr>
            <w:r>
              <w:rPr>
                <w:rFonts w:ascii="Arial" w:cs="Arial" w:eastAsia="Arial" w:hAnsi="Arial"/>
                <w:sz w:val="12"/>
                <w:szCs w:val="12"/>
                <w:color w:val="auto"/>
              </w:rPr>
              <w:t>1a.</w:t>
            </w:r>
          </w:p>
        </w:tc>
        <w:tc>
          <w:tcPr>
            <w:tcW w:w="2200" w:type="dxa"/>
            <w:vAlign w:val="bottom"/>
          </w:tcPr>
          <w:p>
            <w:pPr>
              <w:ind w:left="80"/>
              <w:spacing w:after="0"/>
              <w:rPr>
                <w:sz w:val="20"/>
                <w:szCs w:val="20"/>
                <w:color w:val="auto"/>
              </w:rPr>
            </w:pPr>
            <w:r>
              <w:rPr>
                <w:rFonts w:ascii="Arial" w:cs="Arial" w:eastAsia="Arial" w:hAnsi="Arial"/>
                <w:sz w:val="12"/>
                <w:szCs w:val="12"/>
                <w:color w:val="auto"/>
              </w:rPr>
              <w:t>Charles I. Cogut</w:t>
            </w:r>
          </w:p>
        </w:tc>
        <w:tc>
          <w:tcPr>
            <w:tcW w:w="1380" w:type="dxa"/>
            <w:vAlign w:val="bottom"/>
          </w:tcPr>
          <w:p>
            <w:pPr>
              <w:jc w:val="center"/>
              <w:ind w:left="938"/>
              <w:spacing w:after="0"/>
              <w:rPr>
                <w:sz w:val="20"/>
                <w:szCs w:val="20"/>
                <w:color w:val="auto"/>
              </w:rPr>
            </w:pPr>
            <w:r>
              <w:rPr>
                <w:rFonts w:ascii="Arial" w:cs="Arial" w:eastAsia="Arial" w:hAnsi="Arial"/>
                <w:sz w:val="12"/>
                <w:szCs w:val="12"/>
                <w:color w:val="auto"/>
                <w:w w:val="89"/>
              </w:rPr>
              <w:t>o</w:t>
            </w:r>
          </w:p>
        </w:tc>
        <w:tc>
          <w:tcPr>
            <w:tcW w:w="60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520" w:type="dxa"/>
            <w:vAlign w:val="bottom"/>
          </w:tcPr>
          <w:p>
            <w:pPr>
              <w:jc w:val="center"/>
              <w:ind w:left="38"/>
              <w:spacing w:after="0"/>
              <w:rPr>
                <w:sz w:val="20"/>
                <w:szCs w:val="20"/>
                <w:color w:val="auto"/>
              </w:rPr>
            </w:pPr>
            <w:r>
              <w:rPr>
                <w:rFonts w:ascii="Arial" w:cs="Arial" w:eastAsia="Arial" w:hAnsi="Arial"/>
                <w:sz w:val="12"/>
                <w:szCs w:val="12"/>
                <w:color w:val="auto"/>
                <w:w w:val="89"/>
              </w:rPr>
              <w:t>o</w:t>
            </w:r>
          </w:p>
        </w:tc>
      </w:tr>
      <w:tr>
        <w:trPr>
          <w:trHeight w:val="266"/>
        </w:trPr>
        <w:tc>
          <w:tcPr>
            <w:tcW w:w="260" w:type="dxa"/>
            <w:vAlign w:val="bottom"/>
          </w:tcPr>
          <w:p>
            <w:pPr>
              <w:spacing w:after="0"/>
              <w:rPr>
                <w:sz w:val="20"/>
                <w:szCs w:val="20"/>
                <w:color w:val="auto"/>
              </w:rPr>
            </w:pPr>
            <w:r>
              <w:rPr>
                <w:rFonts w:ascii="Arial" w:cs="Arial" w:eastAsia="Arial" w:hAnsi="Arial"/>
                <w:sz w:val="12"/>
                <w:szCs w:val="12"/>
                <w:color w:val="auto"/>
              </w:rPr>
              <w:t>1b.</w:t>
            </w:r>
          </w:p>
        </w:tc>
        <w:tc>
          <w:tcPr>
            <w:tcW w:w="2200" w:type="dxa"/>
            <w:vAlign w:val="bottom"/>
          </w:tcPr>
          <w:p>
            <w:pPr>
              <w:ind w:left="80"/>
              <w:spacing w:after="0"/>
              <w:rPr>
                <w:sz w:val="20"/>
                <w:szCs w:val="20"/>
                <w:color w:val="auto"/>
              </w:rPr>
            </w:pPr>
            <w:r>
              <w:rPr>
                <w:rFonts w:ascii="Arial" w:cs="Arial" w:eastAsia="Arial" w:hAnsi="Arial"/>
                <w:sz w:val="12"/>
                <w:szCs w:val="12"/>
                <w:color w:val="auto"/>
              </w:rPr>
              <w:t>Lisa A. Davis</w:t>
            </w:r>
          </w:p>
        </w:tc>
        <w:tc>
          <w:tcPr>
            <w:tcW w:w="1380" w:type="dxa"/>
            <w:vAlign w:val="bottom"/>
          </w:tcPr>
          <w:p>
            <w:pPr>
              <w:jc w:val="center"/>
              <w:ind w:left="938"/>
              <w:spacing w:after="0"/>
              <w:rPr>
                <w:sz w:val="20"/>
                <w:szCs w:val="20"/>
                <w:color w:val="auto"/>
              </w:rPr>
            </w:pPr>
            <w:r>
              <w:rPr>
                <w:rFonts w:ascii="Arial" w:cs="Arial" w:eastAsia="Arial" w:hAnsi="Arial"/>
                <w:sz w:val="12"/>
                <w:szCs w:val="12"/>
                <w:color w:val="auto"/>
                <w:w w:val="89"/>
              </w:rPr>
              <w:t>o</w:t>
            </w:r>
          </w:p>
        </w:tc>
        <w:tc>
          <w:tcPr>
            <w:tcW w:w="60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520" w:type="dxa"/>
            <w:vAlign w:val="bottom"/>
          </w:tcPr>
          <w:p>
            <w:pPr>
              <w:jc w:val="center"/>
              <w:ind w:left="38"/>
              <w:spacing w:after="0"/>
              <w:rPr>
                <w:sz w:val="20"/>
                <w:szCs w:val="20"/>
                <w:color w:val="auto"/>
              </w:rPr>
            </w:pPr>
            <w:r>
              <w:rPr>
                <w:rFonts w:ascii="Arial" w:cs="Arial" w:eastAsia="Arial" w:hAnsi="Arial"/>
                <w:sz w:val="12"/>
                <w:szCs w:val="12"/>
                <w:color w:val="auto"/>
                <w:w w:val="89"/>
              </w:rPr>
              <w:t>o</w:t>
            </w:r>
          </w:p>
        </w:tc>
      </w:tr>
      <w:tr>
        <w:trPr>
          <w:trHeight w:val="266"/>
        </w:trPr>
        <w:tc>
          <w:tcPr>
            <w:tcW w:w="260" w:type="dxa"/>
            <w:vAlign w:val="bottom"/>
          </w:tcPr>
          <w:p>
            <w:pPr>
              <w:spacing w:after="0"/>
              <w:rPr>
                <w:sz w:val="20"/>
                <w:szCs w:val="20"/>
                <w:color w:val="auto"/>
              </w:rPr>
            </w:pPr>
            <w:r>
              <w:rPr>
                <w:rFonts w:ascii="Arial" w:cs="Arial" w:eastAsia="Arial" w:hAnsi="Arial"/>
                <w:sz w:val="12"/>
                <w:szCs w:val="12"/>
                <w:color w:val="auto"/>
              </w:rPr>
              <w:t>1c.</w:t>
            </w:r>
          </w:p>
        </w:tc>
        <w:tc>
          <w:tcPr>
            <w:tcW w:w="2200" w:type="dxa"/>
            <w:vAlign w:val="bottom"/>
          </w:tcPr>
          <w:p>
            <w:pPr>
              <w:ind w:left="80"/>
              <w:spacing w:after="0"/>
              <w:rPr>
                <w:sz w:val="20"/>
                <w:szCs w:val="20"/>
                <w:color w:val="auto"/>
              </w:rPr>
            </w:pPr>
            <w:r>
              <w:rPr>
                <w:rFonts w:ascii="Arial" w:cs="Arial" w:eastAsia="Arial" w:hAnsi="Arial"/>
                <w:sz w:val="12"/>
                <w:szCs w:val="12"/>
                <w:color w:val="auto"/>
              </w:rPr>
              <w:t>Seifollah Ghasemi</w:t>
            </w:r>
          </w:p>
        </w:tc>
        <w:tc>
          <w:tcPr>
            <w:tcW w:w="1380" w:type="dxa"/>
            <w:vAlign w:val="bottom"/>
          </w:tcPr>
          <w:p>
            <w:pPr>
              <w:jc w:val="center"/>
              <w:ind w:left="938"/>
              <w:spacing w:after="0"/>
              <w:rPr>
                <w:sz w:val="20"/>
                <w:szCs w:val="20"/>
                <w:color w:val="auto"/>
              </w:rPr>
            </w:pPr>
            <w:r>
              <w:rPr>
                <w:rFonts w:ascii="Arial" w:cs="Arial" w:eastAsia="Arial" w:hAnsi="Arial"/>
                <w:sz w:val="12"/>
                <w:szCs w:val="12"/>
                <w:color w:val="auto"/>
                <w:w w:val="89"/>
              </w:rPr>
              <w:t>o</w:t>
            </w:r>
          </w:p>
        </w:tc>
        <w:tc>
          <w:tcPr>
            <w:tcW w:w="60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520" w:type="dxa"/>
            <w:vAlign w:val="bottom"/>
          </w:tcPr>
          <w:p>
            <w:pPr>
              <w:jc w:val="center"/>
              <w:ind w:left="38"/>
              <w:spacing w:after="0"/>
              <w:rPr>
                <w:sz w:val="20"/>
                <w:szCs w:val="20"/>
                <w:color w:val="auto"/>
              </w:rPr>
            </w:pPr>
            <w:r>
              <w:rPr>
                <w:rFonts w:ascii="Arial" w:cs="Arial" w:eastAsia="Arial" w:hAnsi="Arial"/>
                <w:sz w:val="12"/>
                <w:szCs w:val="12"/>
                <w:color w:val="auto"/>
                <w:w w:val="89"/>
              </w:rPr>
              <w:t>o</w:t>
            </w:r>
          </w:p>
        </w:tc>
      </w:tr>
      <w:tr>
        <w:trPr>
          <w:trHeight w:val="266"/>
        </w:trPr>
        <w:tc>
          <w:tcPr>
            <w:tcW w:w="260" w:type="dxa"/>
            <w:vAlign w:val="bottom"/>
          </w:tcPr>
          <w:p>
            <w:pPr>
              <w:spacing w:after="0"/>
              <w:rPr>
                <w:sz w:val="20"/>
                <w:szCs w:val="20"/>
                <w:color w:val="auto"/>
              </w:rPr>
            </w:pPr>
            <w:r>
              <w:rPr>
                <w:rFonts w:ascii="Arial" w:cs="Arial" w:eastAsia="Arial" w:hAnsi="Arial"/>
                <w:sz w:val="12"/>
                <w:szCs w:val="12"/>
                <w:color w:val="auto"/>
              </w:rPr>
              <w:t>1d.</w:t>
            </w:r>
          </w:p>
        </w:tc>
        <w:tc>
          <w:tcPr>
            <w:tcW w:w="2200" w:type="dxa"/>
            <w:vAlign w:val="bottom"/>
          </w:tcPr>
          <w:p>
            <w:pPr>
              <w:ind w:left="80"/>
              <w:spacing w:after="0"/>
              <w:rPr>
                <w:sz w:val="20"/>
                <w:szCs w:val="20"/>
                <w:color w:val="auto"/>
              </w:rPr>
            </w:pPr>
            <w:r>
              <w:rPr>
                <w:rFonts w:ascii="Arial" w:cs="Arial" w:eastAsia="Arial" w:hAnsi="Arial"/>
                <w:sz w:val="12"/>
                <w:szCs w:val="12"/>
                <w:color w:val="auto"/>
              </w:rPr>
              <w:t>David H.Y. Ho</w:t>
            </w:r>
          </w:p>
        </w:tc>
        <w:tc>
          <w:tcPr>
            <w:tcW w:w="1380" w:type="dxa"/>
            <w:vAlign w:val="bottom"/>
          </w:tcPr>
          <w:p>
            <w:pPr>
              <w:jc w:val="center"/>
              <w:ind w:left="938"/>
              <w:spacing w:after="0"/>
              <w:rPr>
                <w:sz w:val="20"/>
                <w:szCs w:val="20"/>
                <w:color w:val="auto"/>
              </w:rPr>
            </w:pPr>
            <w:r>
              <w:rPr>
                <w:rFonts w:ascii="Arial" w:cs="Arial" w:eastAsia="Arial" w:hAnsi="Arial"/>
                <w:sz w:val="12"/>
                <w:szCs w:val="12"/>
                <w:color w:val="auto"/>
                <w:w w:val="89"/>
              </w:rPr>
              <w:t>o</w:t>
            </w:r>
          </w:p>
        </w:tc>
        <w:tc>
          <w:tcPr>
            <w:tcW w:w="60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520" w:type="dxa"/>
            <w:vAlign w:val="bottom"/>
          </w:tcPr>
          <w:p>
            <w:pPr>
              <w:jc w:val="center"/>
              <w:ind w:left="38"/>
              <w:spacing w:after="0"/>
              <w:rPr>
                <w:sz w:val="20"/>
                <w:szCs w:val="20"/>
                <w:color w:val="auto"/>
              </w:rPr>
            </w:pPr>
            <w:r>
              <w:rPr>
                <w:rFonts w:ascii="Arial" w:cs="Arial" w:eastAsia="Arial" w:hAnsi="Arial"/>
                <w:sz w:val="12"/>
                <w:szCs w:val="12"/>
                <w:color w:val="auto"/>
                <w:w w:val="89"/>
              </w:rPr>
              <w:t>o</w:t>
            </w:r>
          </w:p>
        </w:tc>
      </w:tr>
      <w:tr>
        <w:trPr>
          <w:trHeight w:val="266"/>
        </w:trPr>
        <w:tc>
          <w:tcPr>
            <w:tcW w:w="260" w:type="dxa"/>
            <w:vAlign w:val="bottom"/>
          </w:tcPr>
          <w:p>
            <w:pPr>
              <w:spacing w:after="0"/>
              <w:rPr>
                <w:sz w:val="20"/>
                <w:szCs w:val="20"/>
                <w:color w:val="auto"/>
              </w:rPr>
            </w:pPr>
            <w:r>
              <w:rPr>
                <w:rFonts w:ascii="Arial" w:cs="Arial" w:eastAsia="Arial" w:hAnsi="Arial"/>
                <w:sz w:val="12"/>
                <w:szCs w:val="12"/>
                <w:color w:val="auto"/>
              </w:rPr>
              <w:t>1e.</w:t>
            </w:r>
          </w:p>
        </w:tc>
        <w:tc>
          <w:tcPr>
            <w:tcW w:w="2200" w:type="dxa"/>
            <w:vAlign w:val="bottom"/>
          </w:tcPr>
          <w:p>
            <w:pPr>
              <w:ind w:left="80"/>
              <w:spacing w:after="0"/>
              <w:rPr>
                <w:sz w:val="20"/>
                <w:szCs w:val="20"/>
                <w:color w:val="auto"/>
              </w:rPr>
            </w:pPr>
            <w:r>
              <w:rPr>
                <w:rFonts w:ascii="Arial" w:cs="Arial" w:eastAsia="Arial" w:hAnsi="Arial"/>
                <w:sz w:val="12"/>
                <w:szCs w:val="12"/>
                <w:color w:val="auto"/>
              </w:rPr>
              <w:t>Edward L. Monser</w:t>
            </w:r>
          </w:p>
        </w:tc>
        <w:tc>
          <w:tcPr>
            <w:tcW w:w="1380" w:type="dxa"/>
            <w:vAlign w:val="bottom"/>
          </w:tcPr>
          <w:p>
            <w:pPr>
              <w:jc w:val="center"/>
              <w:ind w:left="938"/>
              <w:spacing w:after="0"/>
              <w:rPr>
                <w:sz w:val="20"/>
                <w:szCs w:val="20"/>
                <w:color w:val="auto"/>
              </w:rPr>
            </w:pPr>
            <w:r>
              <w:rPr>
                <w:rFonts w:ascii="Arial" w:cs="Arial" w:eastAsia="Arial" w:hAnsi="Arial"/>
                <w:sz w:val="12"/>
                <w:szCs w:val="12"/>
                <w:color w:val="auto"/>
                <w:w w:val="89"/>
              </w:rPr>
              <w:t>o</w:t>
            </w:r>
          </w:p>
        </w:tc>
        <w:tc>
          <w:tcPr>
            <w:tcW w:w="60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520" w:type="dxa"/>
            <w:vAlign w:val="bottom"/>
          </w:tcPr>
          <w:p>
            <w:pPr>
              <w:jc w:val="center"/>
              <w:ind w:left="38"/>
              <w:spacing w:after="0"/>
              <w:rPr>
                <w:sz w:val="20"/>
                <w:szCs w:val="20"/>
                <w:color w:val="auto"/>
              </w:rPr>
            </w:pPr>
            <w:r>
              <w:rPr>
                <w:rFonts w:ascii="Arial" w:cs="Arial" w:eastAsia="Arial" w:hAnsi="Arial"/>
                <w:sz w:val="12"/>
                <w:szCs w:val="12"/>
                <w:color w:val="auto"/>
                <w:w w:val="89"/>
              </w:rPr>
              <w:t>o</w:t>
            </w:r>
          </w:p>
        </w:tc>
      </w:tr>
      <w:tr>
        <w:trPr>
          <w:trHeight w:val="266"/>
        </w:trPr>
        <w:tc>
          <w:tcPr>
            <w:tcW w:w="260" w:type="dxa"/>
            <w:vAlign w:val="bottom"/>
          </w:tcPr>
          <w:p>
            <w:pPr>
              <w:spacing w:after="0"/>
              <w:rPr>
                <w:sz w:val="20"/>
                <w:szCs w:val="20"/>
                <w:color w:val="auto"/>
              </w:rPr>
            </w:pPr>
            <w:r>
              <w:rPr>
                <w:rFonts w:ascii="Arial" w:cs="Arial" w:eastAsia="Arial" w:hAnsi="Arial"/>
                <w:sz w:val="12"/>
                <w:szCs w:val="12"/>
                <w:color w:val="auto"/>
              </w:rPr>
              <w:t>1f.</w:t>
            </w:r>
          </w:p>
        </w:tc>
        <w:tc>
          <w:tcPr>
            <w:tcW w:w="2200" w:type="dxa"/>
            <w:vAlign w:val="bottom"/>
          </w:tcPr>
          <w:p>
            <w:pPr>
              <w:ind w:left="80"/>
              <w:spacing w:after="0"/>
              <w:rPr>
                <w:sz w:val="20"/>
                <w:szCs w:val="20"/>
                <w:color w:val="auto"/>
              </w:rPr>
            </w:pPr>
            <w:r>
              <w:rPr>
                <w:rFonts w:ascii="Arial" w:cs="Arial" w:eastAsia="Arial" w:hAnsi="Arial"/>
                <w:sz w:val="12"/>
                <w:szCs w:val="12"/>
                <w:color w:val="auto"/>
              </w:rPr>
              <w:t>Matthew H. Paull</w:t>
            </w:r>
          </w:p>
        </w:tc>
        <w:tc>
          <w:tcPr>
            <w:tcW w:w="1380" w:type="dxa"/>
            <w:vAlign w:val="bottom"/>
          </w:tcPr>
          <w:p>
            <w:pPr>
              <w:jc w:val="center"/>
              <w:ind w:left="938"/>
              <w:spacing w:after="0"/>
              <w:rPr>
                <w:sz w:val="20"/>
                <w:szCs w:val="20"/>
                <w:color w:val="auto"/>
              </w:rPr>
            </w:pPr>
            <w:r>
              <w:rPr>
                <w:rFonts w:ascii="Arial" w:cs="Arial" w:eastAsia="Arial" w:hAnsi="Arial"/>
                <w:sz w:val="12"/>
                <w:szCs w:val="12"/>
                <w:color w:val="auto"/>
                <w:w w:val="89"/>
              </w:rPr>
              <w:t>o</w:t>
            </w:r>
          </w:p>
        </w:tc>
        <w:tc>
          <w:tcPr>
            <w:tcW w:w="60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520" w:type="dxa"/>
            <w:vAlign w:val="bottom"/>
          </w:tcPr>
          <w:p>
            <w:pPr>
              <w:jc w:val="center"/>
              <w:ind w:left="38"/>
              <w:spacing w:after="0"/>
              <w:rPr>
                <w:sz w:val="20"/>
                <w:szCs w:val="20"/>
                <w:color w:val="auto"/>
              </w:rPr>
            </w:pPr>
            <w:r>
              <w:rPr>
                <w:rFonts w:ascii="Arial" w:cs="Arial" w:eastAsia="Arial" w:hAnsi="Arial"/>
                <w:sz w:val="12"/>
                <w:szCs w:val="12"/>
                <w:color w:val="auto"/>
                <w:w w:val="89"/>
              </w:rPr>
              <w:t>o</w:t>
            </w:r>
          </w:p>
        </w:tc>
      </w:tr>
      <w:tr>
        <w:trPr>
          <w:trHeight w:val="266"/>
        </w:trPr>
        <w:tc>
          <w:tcPr>
            <w:tcW w:w="260" w:type="dxa"/>
            <w:vAlign w:val="bottom"/>
          </w:tcPr>
          <w:p>
            <w:pPr>
              <w:spacing w:after="0"/>
              <w:rPr>
                <w:sz w:val="20"/>
                <w:szCs w:val="20"/>
                <w:color w:val="auto"/>
              </w:rPr>
            </w:pPr>
            <w:r>
              <w:rPr>
                <w:rFonts w:ascii="Arial" w:cs="Arial" w:eastAsia="Arial" w:hAnsi="Arial"/>
                <w:sz w:val="12"/>
                <w:szCs w:val="12"/>
                <w:color w:val="auto"/>
              </w:rPr>
              <w:t>1g.</w:t>
            </w:r>
          </w:p>
        </w:tc>
        <w:tc>
          <w:tcPr>
            <w:tcW w:w="2200" w:type="dxa"/>
            <w:vAlign w:val="bottom"/>
          </w:tcPr>
          <w:p>
            <w:pPr>
              <w:ind w:left="80"/>
              <w:spacing w:after="0"/>
              <w:rPr>
                <w:sz w:val="20"/>
                <w:szCs w:val="20"/>
                <w:color w:val="auto"/>
              </w:rPr>
            </w:pPr>
            <w:r>
              <w:rPr>
                <w:rFonts w:ascii="Arial" w:cs="Arial" w:eastAsia="Arial" w:hAnsi="Arial"/>
                <w:sz w:val="12"/>
                <w:szCs w:val="12"/>
                <w:color w:val="auto"/>
              </w:rPr>
              <w:t>Wayne T. Smith</w:t>
            </w:r>
          </w:p>
        </w:tc>
        <w:tc>
          <w:tcPr>
            <w:tcW w:w="1380" w:type="dxa"/>
            <w:vAlign w:val="bottom"/>
          </w:tcPr>
          <w:p>
            <w:pPr>
              <w:jc w:val="center"/>
              <w:ind w:left="938"/>
              <w:spacing w:after="0"/>
              <w:rPr>
                <w:sz w:val="20"/>
                <w:szCs w:val="20"/>
                <w:color w:val="auto"/>
              </w:rPr>
            </w:pPr>
            <w:r>
              <w:rPr>
                <w:rFonts w:ascii="Arial" w:cs="Arial" w:eastAsia="Arial" w:hAnsi="Arial"/>
                <w:sz w:val="12"/>
                <w:szCs w:val="12"/>
                <w:color w:val="auto"/>
                <w:w w:val="89"/>
              </w:rPr>
              <w:t>o</w:t>
            </w:r>
          </w:p>
        </w:tc>
        <w:tc>
          <w:tcPr>
            <w:tcW w:w="60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520" w:type="dxa"/>
            <w:vAlign w:val="bottom"/>
          </w:tcPr>
          <w:p>
            <w:pPr>
              <w:jc w:val="center"/>
              <w:ind w:left="38"/>
              <w:spacing w:after="0"/>
              <w:rPr>
                <w:sz w:val="20"/>
                <w:szCs w:val="20"/>
                <w:color w:val="auto"/>
              </w:rPr>
            </w:pPr>
            <w:r>
              <w:rPr>
                <w:rFonts w:ascii="Arial" w:cs="Arial" w:eastAsia="Arial" w:hAnsi="Arial"/>
                <w:sz w:val="12"/>
                <w:szCs w:val="12"/>
                <w:color w:val="auto"/>
                <w:w w:val="89"/>
              </w:rPr>
              <w:t>o</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3760" w:type="dxa"/>
            <w:vAlign w:val="bottom"/>
            <w:gridSpan w:val="2"/>
          </w:tcPr>
          <w:p>
            <w:pPr>
              <w:spacing w:after="0"/>
              <w:rPr>
                <w:sz w:val="20"/>
                <w:szCs w:val="20"/>
                <w:color w:val="auto"/>
              </w:rPr>
            </w:pPr>
            <w:r>
              <w:rPr>
                <w:rFonts w:ascii="Arial" w:cs="Arial" w:eastAsia="Arial" w:hAnsi="Arial"/>
                <w:sz w:val="12"/>
                <w:szCs w:val="12"/>
                <w:b w:val="1"/>
                <w:bCs w:val="1"/>
                <w:color w:val="auto"/>
              </w:rPr>
              <w:t>The Board of Directors recommends you vote FOR proposals</w:t>
            </w:r>
          </w:p>
        </w:tc>
        <w:tc>
          <w:tcPr>
            <w:tcW w:w="360" w:type="dxa"/>
            <w:vAlign w:val="bottom"/>
          </w:tcPr>
          <w:p>
            <w:pPr>
              <w:jc w:val="center"/>
              <w:spacing w:after="0"/>
              <w:rPr>
                <w:sz w:val="20"/>
                <w:szCs w:val="20"/>
                <w:color w:val="auto"/>
              </w:rPr>
            </w:pPr>
            <w:r>
              <w:rPr>
                <w:rFonts w:ascii="Arial" w:cs="Arial" w:eastAsia="Arial" w:hAnsi="Arial"/>
                <w:sz w:val="12"/>
                <w:szCs w:val="12"/>
                <w:b w:val="1"/>
                <w:bCs w:val="1"/>
                <w:color w:val="auto"/>
              </w:rPr>
              <w:t>For</w:t>
            </w: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rPr>
              <w:t>Against</w:t>
            </w:r>
          </w:p>
        </w:tc>
        <w:tc>
          <w:tcPr>
            <w:tcW w:w="540" w:type="dxa"/>
            <w:vAlign w:val="bottom"/>
          </w:tcPr>
          <w:p>
            <w:pPr>
              <w:jc w:val="center"/>
              <w:ind w:left="18"/>
              <w:spacing w:after="0"/>
              <w:rPr>
                <w:sz w:val="20"/>
                <w:szCs w:val="20"/>
                <w:color w:val="auto"/>
              </w:rPr>
            </w:pPr>
            <w:r>
              <w:rPr>
                <w:rFonts w:ascii="Arial" w:cs="Arial" w:eastAsia="Arial" w:hAnsi="Arial"/>
                <w:sz w:val="12"/>
                <w:szCs w:val="12"/>
                <w:b w:val="1"/>
                <w:bCs w:val="1"/>
                <w:color w:val="auto"/>
              </w:rPr>
              <w:t>Abstain</w:t>
            </w:r>
          </w:p>
        </w:tc>
      </w:tr>
      <w:tr>
        <w:trPr>
          <w:trHeight w:val="162"/>
        </w:trPr>
        <w:tc>
          <w:tcPr>
            <w:tcW w:w="3760" w:type="dxa"/>
            <w:vAlign w:val="bottom"/>
            <w:gridSpan w:val="2"/>
          </w:tcPr>
          <w:p>
            <w:pPr>
              <w:spacing w:after="0"/>
              <w:rPr>
                <w:sz w:val="20"/>
                <w:szCs w:val="20"/>
                <w:color w:val="auto"/>
              </w:rPr>
            </w:pPr>
            <w:r>
              <w:rPr>
                <w:rFonts w:ascii="Arial" w:cs="Arial" w:eastAsia="Arial" w:hAnsi="Arial"/>
                <w:sz w:val="12"/>
                <w:szCs w:val="12"/>
                <w:b w:val="1"/>
                <w:bCs w:val="1"/>
                <w:color w:val="auto"/>
              </w:rPr>
              <w:t>2 and 3.</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51"/>
        </w:trPr>
        <w:tc>
          <w:tcPr>
            <w:tcW w:w="200" w:type="dxa"/>
            <w:vAlign w:val="bottom"/>
          </w:tcPr>
          <w:p>
            <w:pPr>
              <w:spacing w:after="0"/>
              <w:rPr>
                <w:sz w:val="20"/>
                <w:szCs w:val="20"/>
                <w:color w:val="auto"/>
              </w:rPr>
            </w:pPr>
            <w:r>
              <w:rPr>
                <w:rFonts w:ascii="Arial" w:cs="Arial" w:eastAsia="Arial" w:hAnsi="Arial"/>
                <w:sz w:val="12"/>
                <w:szCs w:val="12"/>
                <w:color w:val="auto"/>
              </w:rPr>
              <w:t>2.</w:t>
            </w:r>
          </w:p>
        </w:tc>
        <w:tc>
          <w:tcPr>
            <w:tcW w:w="3560" w:type="dxa"/>
            <w:vAlign w:val="bottom"/>
          </w:tcPr>
          <w:p>
            <w:pPr>
              <w:ind w:left="80"/>
              <w:spacing w:after="0"/>
              <w:rPr>
                <w:sz w:val="20"/>
                <w:szCs w:val="20"/>
                <w:color w:val="auto"/>
              </w:rPr>
            </w:pPr>
            <w:r>
              <w:rPr>
                <w:rFonts w:ascii="Arial" w:cs="Arial" w:eastAsia="Arial" w:hAnsi="Arial"/>
                <w:sz w:val="12"/>
                <w:szCs w:val="12"/>
                <w:color w:val="auto"/>
              </w:rPr>
              <w:t>Advisory vote approving the compensation of the Company’s</w:t>
            </w:r>
          </w:p>
        </w:tc>
        <w:tc>
          <w:tcPr>
            <w:tcW w:w="36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60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540" w:type="dxa"/>
            <w:vAlign w:val="bottom"/>
          </w:tcPr>
          <w:p>
            <w:pPr>
              <w:jc w:val="center"/>
              <w:ind w:left="18"/>
              <w:spacing w:after="0"/>
              <w:rPr>
                <w:sz w:val="20"/>
                <w:szCs w:val="20"/>
                <w:color w:val="auto"/>
              </w:rPr>
            </w:pPr>
            <w:r>
              <w:rPr>
                <w:rFonts w:ascii="Arial" w:cs="Arial" w:eastAsia="Arial" w:hAnsi="Arial"/>
                <w:sz w:val="12"/>
                <w:szCs w:val="12"/>
                <w:color w:val="auto"/>
                <w:w w:val="89"/>
              </w:rPr>
              <w:t>o</w:t>
            </w:r>
          </w:p>
        </w:tc>
      </w:tr>
      <w:tr>
        <w:trPr>
          <w:trHeight w:val="148"/>
        </w:trPr>
        <w:tc>
          <w:tcPr>
            <w:tcW w:w="200" w:type="dxa"/>
            <w:vAlign w:val="bottom"/>
          </w:tcPr>
          <w:p>
            <w:pPr>
              <w:spacing w:after="0"/>
              <w:rPr>
                <w:sz w:val="12"/>
                <w:szCs w:val="12"/>
                <w:color w:val="auto"/>
              </w:rPr>
            </w:pPr>
          </w:p>
        </w:tc>
        <w:tc>
          <w:tcPr>
            <w:tcW w:w="3560" w:type="dxa"/>
            <w:vAlign w:val="bottom"/>
          </w:tcPr>
          <w:p>
            <w:pPr>
              <w:ind w:left="80"/>
              <w:spacing w:after="0"/>
              <w:rPr>
                <w:sz w:val="20"/>
                <w:szCs w:val="20"/>
                <w:color w:val="auto"/>
              </w:rPr>
            </w:pPr>
            <w:r>
              <w:rPr>
                <w:rFonts w:ascii="Arial" w:cs="Arial" w:eastAsia="Arial" w:hAnsi="Arial"/>
                <w:sz w:val="12"/>
                <w:szCs w:val="12"/>
                <w:color w:val="auto"/>
              </w:rPr>
              <w:t>named executive officers.</w:t>
            </w: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251"/>
        </w:trPr>
        <w:tc>
          <w:tcPr>
            <w:tcW w:w="200" w:type="dxa"/>
            <w:vAlign w:val="bottom"/>
          </w:tcPr>
          <w:p>
            <w:pPr>
              <w:spacing w:after="0"/>
              <w:rPr>
                <w:sz w:val="20"/>
                <w:szCs w:val="20"/>
                <w:color w:val="auto"/>
              </w:rPr>
            </w:pPr>
            <w:r>
              <w:rPr>
                <w:rFonts w:ascii="Arial" w:cs="Arial" w:eastAsia="Arial" w:hAnsi="Arial"/>
                <w:sz w:val="12"/>
                <w:szCs w:val="12"/>
                <w:color w:val="auto"/>
              </w:rPr>
              <w:t>3.</w:t>
            </w:r>
          </w:p>
        </w:tc>
        <w:tc>
          <w:tcPr>
            <w:tcW w:w="3560" w:type="dxa"/>
            <w:vAlign w:val="bottom"/>
          </w:tcPr>
          <w:p>
            <w:pPr>
              <w:ind w:left="80"/>
              <w:spacing w:after="0"/>
              <w:rPr>
                <w:sz w:val="20"/>
                <w:szCs w:val="20"/>
                <w:color w:val="auto"/>
              </w:rPr>
            </w:pPr>
            <w:r>
              <w:rPr>
                <w:rFonts w:ascii="Arial" w:cs="Arial" w:eastAsia="Arial" w:hAnsi="Arial"/>
                <w:sz w:val="12"/>
                <w:szCs w:val="12"/>
                <w:color w:val="auto"/>
              </w:rPr>
              <w:t>Ratify the appointment of Deloitte &amp; Touche LLP as the</w:t>
            </w:r>
          </w:p>
        </w:tc>
        <w:tc>
          <w:tcPr>
            <w:tcW w:w="36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60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540" w:type="dxa"/>
            <w:vAlign w:val="bottom"/>
          </w:tcPr>
          <w:p>
            <w:pPr>
              <w:jc w:val="center"/>
              <w:ind w:left="18"/>
              <w:spacing w:after="0"/>
              <w:rPr>
                <w:sz w:val="20"/>
                <w:szCs w:val="20"/>
                <w:color w:val="auto"/>
              </w:rPr>
            </w:pPr>
            <w:r>
              <w:rPr>
                <w:rFonts w:ascii="Arial" w:cs="Arial" w:eastAsia="Arial" w:hAnsi="Arial"/>
                <w:sz w:val="12"/>
                <w:szCs w:val="12"/>
                <w:color w:val="auto"/>
                <w:w w:val="89"/>
              </w:rPr>
              <w:t>o</w:t>
            </w:r>
          </w:p>
        </w:tc>
      </w:tr>
      <w:tr>
        <w:trPr>
          <w:trHeight w:val="133"/>
        </w:trPr>
        <w:tc>
          <w:tcPr>
            <w:tcW w:w="200" w:type="dxa"/>
            <w:vAlign w:val="bottom"/>
          </w:tcPr>
          <w:p>
            <w:pPr>
              <w:spacing w:after="0"/>
              <w:rPr>
                <w:sz w:val="11"/>
                <w:szCs w:val="11"/>
                <w:color w:val="auto"/>
              </w:rPr>
            </w:pPr>
          </w:p>
        </w:tc>
        <w:tc>
          <w:tcPr>
            <w:tcW w:w="3560" w:type="dxa"/>
            <w:vAlign w:val="bottom"/>
          </w:tcPr>
          <w:p>
            <w:pPr>
              <w:ind w:left="80"/>
              <w:spacing w:after="0" w:line="133" w:lineRule="exact"/>
              <w:rPr>
                <w:sz w:val="20"/>
                <w:szCs w:val="20"/>
                <w:color w:val="auto"/>
              </w:rPr>
            </w:pPr>
            <w:r>
              <w:rPr>
                <w:rFonts w:ascii="Arial" w:cs="Arial" w:eastAsia="Arial" w:hAnsi="Arial"/>
                <w:sz w:val="12"/>
                <w:szCs w:val="12"/>
                <w:color w:val="auto"/>
              </w:rPr>
              <w:t>Company’s independent registered public accounting firm for</w:t>
            </w: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48"/>
        </w:trPr>
        <w:tc>
          <w:tcPr>
            <w:tcW w:w="200" w:type="dxa"/>
            <w:vAlign w:val="bottom"/>
          </w:tcPr>
          <w:p>
            <w:pPr>
              <w:spacing w:after="0"/>
              <w:rPr>
                <w:sz w:val="12"/>
                <w:szCs w:val="12"/>
                <w:color w:val="auto"/>
              </w:rPr>
            </w:pPr>
          </w:p>
        </w:tc>
        <w:tc>
          <w:tcPr>
            <w:tcW w:w="3560" w:type="dxa"/>
            <w:vAlign w:val="bottom"/>
          </w:tcPr>
          <w:p>
            <w:pPr>
              <w:ind w:left="80"/>
              <w:spacing w:after="0"/>
              <w:rPr>
                <w:sz w:val="20"/>
                <w:szCs w:val="20"/>
                <w:color w:val="auto"/>
              </w:rPr>
            </w:pPr>
            <w:r>
              <w:rPr>
                <w:rFonts w:ascii="Arial" w:cs="Arial" w:eastAsia="Arial" w:hAnsi="Arial"/>
                <w:sz w:val="12"/>
                <w:szCs w:val="12"/>
                <w:color w:val="auto"/>
              </w:rPr>
              <w:t>the fiscal year ending September 30, 2022.</w:t>
            </w: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r>
    </w:tbl>
    <w:p>
      <w:pPr>
        <w:spacing w:after="0" w:line="1078" w:lineRule="exact"/>
        <w:rPr>
          <w:sz w:val="20"/>
          <w:szCs w:val="20"/>
          <w:color w:val="auto"/>
        </w:rPr>
      </w:pPr>
    </w:p>
    <w:p>
      <w:pPr>
        <w:sectPr>
          <w:pgSz w:w="11900" w:h="16838" w:orient="portrait"/>
          <w:cols w:equalWidth="0" w:num="2">
            <w:col w:w="5560" w:space="280"/>
            <w:col w:w="5400"/>
          </w:cols>
          <w:pgMar w:left="320" w:top="140" w:right="339" w:bottom="1440" w:gutter="0" w:footer="0" w:header="0"/>
          <w:type w:val="continuous"/>
        </w:sectPr>
      </w:pPr>
    </w:p>
    <w:p>
      <w:pPr>
        <w:spacing w:after="0" w:line="31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Please sign exactly as your name(s) appear(s) hereon. When signing as attorney, executor,</w:t>
      </w:r>
    </w:p>
    <w:p>
      <w:pPr>
        <w:ind w:left="320"/>
        <w:spacing w:after="0" w:line="231" w:lineRule="auto"/>
        <w:rPr>
          <w:sz w:val="20"/>
          <w:szCs w:val="20"/>
          <w:color w:val="auto"/>
        </w:rPr>
      </w:pPr>
      <w:r>
        <w:rPr>
          <w:rFonts w:ascii="Arial" w:cs="Arial" w:eastAsia="Arial" w:hAnsi="Arial"/>
          <w:sz w:val="12"/>
          <w:szCs w:val="12"/>
          <w:color w:val="auto"/>
        </w:rPr>
        <w:t>administrator, or other fiduciary, please give full title as such. Joint owners should each sign</w:t>
      </w:r>
    </w:p>
    <w:p>
      <w:pPr>
        <w:ind w:left="320"/>
        <w:spacing w:after="0" w:line="232" w:lineRule="auto"/>
        <w:rPr>
          <w:sz w:val="20"/>
          <w:szCs w:val="20"/>
          <w:color w:val="auto"/>
        </w:rPr>
      </w:pPr>
      <w:r>
        <w:rPr>
          <w:rFonts w:ascii="Arial" w:cs="Arial" w:eastAsia="Arial" w:hAnsi="Arial"/>
          <w:sz w:val="12"/>
          <w:szCs w:val="12"/>
          <w:color w:val="auto"/>
        </w:rPr>
        <w:t>personally. All holders must sign. If a corporation or partnership, please sign in full corporate or</w:t>
      </w:r>
    </w:p>
    <w:p>
      <w:pPr>
        <w:ind w:left="320"/>
        <w:spacing w:after="0"/>
        <w:rPr>
          <w:sz w:val="20"/>
          <w:szCs w:val="20"/>
          <w:color w:val="auto"/>
        </w:rPr>
      </w:pPr>
      <w:r>
        <w:rPr>
          <w:rFonts w:ascii="Arial" w:cs="Arial" w:eastAsia="Arial" w:hAnsi="Arial"/>
          <w:sz w:val="12"/>
          <w:szCs w:val="12"/>
          <w:color w:val="auto"/>
        </w:rPr>
        <w:t>partnership name by authorized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0"/>
        <w:spacing w:after="0"/>
        <w:tabs>
          <w:tab w:leader="none" w:pos="2880" w:val="left"/>
          <w:tab w:leader="none" w:pos="5800" w:val="left"/>
          <w:tab w:leader="none" w:pos="8340" w:val="left"/>
        </w:tabs>
        <w:rPr>
          <w:sz w:val="20"/>
          <w:szCs w:val="20"/>
          <w:color w:val="auto"/>
        </w:rPr>
      </w:pPr>
      <w:r>
        <w:rPr>
          <w:rFonts w:ascii="Arial" w:cs="Arial" w:eastAsia="Arial" w:hAnsi="Arial"/>
          <w:sz w:val="12"/>
          <w:szCs w:val="12"/>
          <w:color w:val="auto"/>
        </w:rPr>
        <w:t>Signature [PLEASE SIGN WITHIN BOX]</w:t>
      </w:r>
      <w:r>
        <w:rPr>
          <w:sz w:val="20"/>
          <w:szCs w:val="20"/>
          <w:color w:val="auto"/>
        </w:rPr>
        <w:tab/>
      </w: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Signature (Joint Owners)</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155180" cy="20955"/>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Annual Meeting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Air Products and Chemicals,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Thursday, February 3, 2022 - 2:00 p.m. Eastern Time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www.virtualshareholdermeeting.com/APD2022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693420</wp:posOffset>
            </wp:positionV>
            <wp:extent cx="7159625" cy="42545"/>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D62742-P64201-Z81424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36830</wp:posOffset>
            </wp:positionV>
            <wp:extent cx="7129780" cy="4239260"/>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7129780" cy="4239260"/>
                    </a:xfrm>
                    <a:prstGeom prst="rect">
                      <a:avLst/>
                    </a:prstGeom>
                    <a:noFill/>
                  </pic:spPr>
                </pic:pic>
              </a:graphicData>
            </a:graphic>
          </wp:anchor>
        </w:drawing>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Air Products and Chemicals,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Annual Meeting of Shareholders - February 3, 2022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Proxy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This proxy is solicited on Behalf of the Board of Directors</w:t>
      </w:r>
    </w:p>
    <w:p>
      <w:pPr>
        <w:spacing w:after="0" w:line="243" w:lineRule="exact"/>
        <w:rPr>
          <w:sz w:val="20"/>
          <w:szCs w:val="20"/>
          <w:color w:val="auto"/>
        </w:rPr>
      </w:pPr>
    </w:p>
    <w:p>
      <w:pPr>
        <w:jc w:val="both"/>
        <w:ind w:left="300" w:right="300"/>
        <w:spacing w:after="0" w:line="233" w:lineRule="auto"/>
        <w:rPr>
          <w:sz w:val="20"/>
          <w:szCs w:val="20"/>
          <w:color w:val="auto"/>
        </w:rPr>
      </w:pPr>
      <w:r>
        <w:rPr>
          <w:rFonts w:ascii="Arial" w:cs="Arial" w:eastAsia="Arial" w:hAnsi="Arial"/>
          <w:sz w:val="18"/>
          <w:szCs w:val="18"/>
          <w:color w:val="auto"/>
        </w:rPr>
        <w:t xml:space="preserve">The undersigned hereby appoints Seifollah Ghasemi, Melissa N. Schaeffer and Sean D. Major, or any one of them, with full power of substitution, to represent the undersigned at the Annual Meeting of Shareholders of Air Products and Chemicals, Inc. on Thursday, February 3, 2022, at 2:00 p.m. (Eastern Time), and at any adjournments thereof, and to vote at such meeting the shares which the undersigned would be entitled to vote if virtually present, as directed on the reverse side, and to vote in their judgment upon all other matters which may properly come before the meeting and any adjournments thereof. </w:t>
      </w:r>
      <w:r>
        <w:rPr>
          <w:rFonts w:ascii="Arial" w:cs="Arial" w:eastAsia="Arial" w:hAnsi="Arial"/>
          <w:sz w:val="18"/>
          <w:szCs w:val="18"/>
          <w:b w:val="1"/>
          <w:bCs w:val="1"/>
          <w:color w:val="auto"/>
        </w:rPr>
        <w:t>This proxy will be voted as directed, but if no</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instructions are given for voting on the matters listed on the reverse side, this proxy will be voted as recommended by the Board of Directors. </w:t>
      </w:r>
      <w:r>
        <w:rPr>
          <w:rFonts w:ascii="Arial" w:cs="Arial" w:eastAsia="Arial" w:hAnsi="Arial"/>
          <w:sz w:val="18"/>
          <w:szCs w:val="18"/>
          <w:color w:val="auto"/>
        </w:rPr>
        <w:t>If any other matters are properly presented for consideration at the Annual Meeting of Shareholders, the proxy</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or any one of them, will have discretion to vote on those matters in accordance with their best judgment.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Air Products and Chemicals, Inc. Retirement Savings Plan Participants</w:t>
      </w:r>
    </w:p>
    <w:p>
      <w:pPr>
        <w:spacing w:after="0" w:line="217" w:lineRule="exact"/>
        <w:rPr>
          <w:sz w:val="20"/>
          <w:szCs w:val="20"/>
          <w:color w:val="auto"/>
        </w:rPr>
      </w:pPr>
    </w:p>
    <w:p>
      <w:pPr>
        <w:jc w:val="both"/>
        <w:ind w:left="300" w:right="300"/>
        <w:spacing w:after="0" w:line="235" w:lineRule="auto"/>
        <w:rPr>
          <w:sz w:val="20"/>
          <w:szCs w:val="20"/>
          <w:color w:val="auto"/>
        </w:rPr>
      </w:pPr>
      <w:r>
        <w:rPr>
          <w:rFonts w:ascii="Arial" w:cs="Arial" w:eastAsia="Arial" w:hAnsi="Arial"/>
          <w:sz w:val="18"/>
          <w:szCs w:val="18"/>
          <w:color w:val="auto"/>
        </w:rPr>
        <w:t>The person signing on the reverse directs that Fidelity Management Trust Company, as Trustee for the Air Products and Chemicals, Inc. Retirement Savings Plan (the “Plan”), vote the shares of common stock of Air Products and Chemicals, Inc. (“shares”) allocated to his or her account under the Plan at the Annual Meeting of Shareholders of Air Products and Chemicals, Inc. to be held on February 3, 2022 as directed on the reverse side.</w:t>
      </w:r>
    </w:p>
    <w:p>
      <w:pPr>
        <w:spacing w:after="0" w:line="201" w:lineRule="exact"/>
        <w:rPr>
          <w:sz w:val="20"/>
          <w:szCs w:val="20"/>
          <w:color w:val="auto"/>
        </w:rPr>
      </w:pPr>
    </w:p>
    <w:p>
      <w:pPr>
        <w:jc w:val="both"/>
        <w:ind w:left="300" w:right="300"/>
        <w:spacing w:after="0" w:line="236" w:lineRule="auto"/>
        <w:rPr>
          <w:sz w:val="20"/>
          <w:szCs w:val="20"/>
          <w:color w:val="auto"/>
        </w:rPr>
      </w:pPr>
      <w:r>
        <w:rPr>
          <w:rFonts w:ascii="Arial" w:cs="Arial" w:eastAsia="Arial" w:hAnsi="Arial"/>
          <w:sz w:val="18"/>
          <w:szCs w:val="18"/>
          <w:color w:val="auto"/>
        </w:rPr>
        <w:t>The Trustee will tabulate the instructions from all participants and vote shares held in the Plan according to the instructions. The Trustee will vote shares held in the Plan for which no voting instructions are received by January 31, 2022 in the same proportions and manner as shares held in the Plan for which instructions have been received.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413385</wp:posOffset>
            </wp:positionV>
            <wp:extent cx="7155180" cy="20955"/>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7155180" cy="20955"/>
                    </a:xfrm>
                    <a:prstGeom prst="rect">
                      <a:avLst/>
                    </a:prstGeom>
                    <a:noFill/>
                  </pic:spPr>
                </pic:pic>
              </a:graphicData>
            </a:graphic>
          </wp:anchor>
        </w:drawing>
      </w:r>
    </w:p>
    <w:sectPr>
      <w:pgSz w:w="11900" w:h="16838" w:orient="portrait"/>
      <w:cols w:equalWidth="0" w:num="1">
        <w:col w:w="11240"/>
      </w:cols>
      <w:pgMar w:left="320" w:top="1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lvl w:ilvl="1">
      <w:lvlJc w:val="left"/>
      <w:lvlText w:val="%2)"/>
      <w:numFmt w:val="decimal"/>
      <w:start w:val="1"/>
    </w:lvl>
  </w:abstractNum>
  <w:abstractNum w:abstractNumId="3">
    <w:nsid w:val="3855585C"/>
    <w:multiLevelType w:val="hybridMultilevel"/>
    <w:lvl w:ilvl="0">
      <w:lvlJc w:val="left"/>
      <w:lvlText w:val="1"/>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lvl w:ilvl="1">
      <w:lvlJc w:val="left"/>
      <w:lvlText w:val="●"/>
      <w:numFmt w:val="bullet"/>
      <w:start w:val="1"/>
    </w:lvl>
  </w:abstractNum>
  <w:abstractNum w:abstractNumId="6">
    <w:nsid w:val="2A487CB0"/>
    <w:multiLevelType w:val="hybridMultilevel"/>
    <w:lvl w:ilvl="0">
      <w:lvlJc w:val="left"/>
      <w:lvlText w:val="●"/>
      <w:numFmt w:val="bullet"/>
      <w:start w:val="1"/>
    </w:lvl>
    <w:lvl w:ilvl="1">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è"/>
      <w:numFmt w:val="bullet"/>
      <w:start w:val="1"/>
    </w:lvl>
  </w:abstractNum>
  <w:abstractNum w:abstractNumId="11">
    <w:nsid w:val="7A6D8D3C"/>
    <w:multiLevelType w:val="hybridMultilevel"/>
    <w:lvl w:ilvl="0">
      <w:lvlJc w:val="left"/>
      <w:lvlText w:val="è"/>
      <w:numFmt w:val="bullet"/>
      <w:start w:val="1"/>
    </w:lvl>
  </w:abstractNum>
  <w:abstractNum w:abstractNumId="12">
    <w:nsid w:val="4B588F54"/>
    <w:multiLevelType w:val="hybridMultilevel"/>
    <w:lvl w:ilvl="0">
      <w:lvlJc w:val="left"/>
      <w:lvlText w:val="è"/>
      <w:numFmt w:val="bullet"/>
      <w:start w:val="1"/>
    </w:lvl>
  </w:abstractNum>
  <w:abstractNum w:abstractNumId="13">
    <w:nsid w:val="542289EC"/>
    <w:multiLevelType w:val="hybridMultilevel"/>
    <w:lvl w:ilvl="0">
      <w:lvlJc w:val="left"/>
      <w:lvlText w:val="1"/>
      <w:numFmt w:val="bullet"/>
      <w:start w:val="1"/>
    </w:lvl>
  </w:abstractNum>
  <w:abstractNum w:abstractNumId="14">
    <w:nsid w:val="6DE91B18"/>
    <w:multiLevelType w:val="hybridMultilevel"/>
    <w:lvl w:ilvl="0">
      <w:lvlJc w:val="left"/>
      <w:lvlText w:val="1"/>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1."/>
      <w:numFmt w:val="decimal"/>
      <w:start w:val="75"/>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1)"/>
      <w:numFmt w:val="decimal"/>
      <w:start w:val="1"/>
    </w:lvl>
  </w:abstractNum>
  <w:abstractNum w:abstractNumId="30">
    <w:nsid w:val="23F9C13C"/>
    <w:multiLevelType w:val="hybridMultilevel"/>
    <w:lvl w:ilvl="0">
      <w:lvlJc w:val="left"/>
      <w:lvlText w:val="(%1)"/>
      <w:numFmt w:val="decimal"/>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1"/>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1)"/>
      <w:numFmt w:val="decimal"/>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1)"/>
      <w:numFmt w:val="decimal"/>
      <w:start w:val="1"/>
    </w:lvl>
  </w:abstractNum>
  <w:abstractNum w:abstractNumId="37">
    <w:nsid w:val="47398C89"/>
    <w:multiLevelType w:val="hybridMultilevel"/>
    <w:lvl w:ilvl="0">
      <w:lvlJc w:val="left"/>
      <w:lvlText w:val="(%1)"/>
      <w:numFmt w:val="decimal"/>
      <w:start w:val="1"/>
    </w:lvl>
  </w:abstractNum>
  <w:abstractNum w:abstractNumId="38">
    <w:nsid w:val="354FE9F9"/>
    <w:multiLevelType w:val="hybridMultilevel"/>
    <w:lvl w:ilvl="0">
      <w:lvlJc w:val="left"/>
      <w:lvlText w:val="(%1)"/>
      <w:numFmt w:val="decimal"/>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1)"/>
      <w:numFmt w:val="decimal"/>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1)"/>
      <w:numFmt w:val="decimal"/>
      <w:start w:val="1"/>
    </w:lvl>
  </w:abstractNum>
  <w:abstractNum w:abstractNumId="49">
    <w:nsid w:val="5FF87E05"/>
    <w:multiLevelType w:val="hybridMultilevel"/>
    <w:lvl w:ilvl="0">
      <w:lvlJc w:val="left"/>
      <w:lvlText w:val="(%1)"/>
      <w:numFmt w:val="decimal"/>
      <w:start w:val="4"/>
    </w:lvl>
  </w:abstractNum>
  <w:abstractNum w:abstractNumId="50">
    <w:nsid w:val="2F305DEF"/>
    <w:multiLevelType w:val="hybridMultilevel"/>
    <w:lvl w:ilvl="0">
      <w:lvlJc w:val="left"/>
      <w:lvlText w:val="(%1)"/>
      <w:numFmt w:val="decimal"/>
      <w:start w:val="5"/>
    </w:lvl>
  </w:abstractNum>
  <w:abstractNum w:abstractNumId="51">
    <w:nsid w:val="25A70BF7"/>
    <w:multiLevelType w:val="hybridMultilevel"/>
    <w:lvl w:ilvl="0">
      <w:lvlJc w:val="left"/>
      <w:lvlText w:val="(%1)"/>
      <w:numFmt w:val="decimal"/>
      <w:start w:val="6"/>
    </w:lvl>
  </w:abstractNum>
  <w:abstractNum w:abstractNumId="52">
    <w:nsid w:val="1DBABF00"/>
    <w:multiLevelType w:val="hybridMultilevel"/>
    <w:lvl w:ilvl="0">
      <w:lvlJc w:val="left"/>
      <w:lvlText w:val="(%1)"/>
      <w:numFmt w:val="lowerRoman"/>
      <w:start w:val="1"/>
    </w:lvl>
  </w:abstractNum>
  <w:abstractNum w:abstractNumId="53">
    <w:nsid w:val="4AD084E9"/>
    <w:multiLevelType w:val="hybridMultilevel"/>
    <w:lvl w:ilvl="0">
      <w:lvlJc w:val="left"/>
      <w:lvlText w:val="(%1)"/>
      <w:numFmt w:val="decimal"/>
      <w:start w:val="7"/>
    </w:lvl>
  </w:abstractNum>
  <w:abstractNum w:abstractNumId="54">
    <w:nsid w:val="1F48EAA1"/>
    <w:multiLevelType w:val="hybridMultilevel"/>
    <w:lvl w:ilvl="0">
      <w:lvlJc w:val="left"/>
      <w:lvlText w:val="(%1)"/>
      <w:numFmt w:val="decimal"/>
      <w:start w:val="1"/>
    </w:lvl>
  </w:abstractNum>
  <w:abstractNum w:abstractNumId="55">
    <w:nsid w:val="1381823A"/>
    <w:multiLevelType w:val="hybridMultilevel"/>
    <w:lvl w:ilvl="0">
      <w:lvlJc w:val="left"/>
      <w:lvlText w:val="(%1)"/>
      <w:numFmt w:val="decimal"/>
      <w:start w:val="1"/>
    </w:lvl>
  </w:abstractNum>
  <w:abstractNum w:abstractNumId="56">
    <w:nsid w:val="5DB70AE5"/>
    <w:multiLevelType w:val="hybridMultilevel"/>
    <w:lvl w:ilvl="0">
      <w:lvlJc w:val="left"/>
      <w:lvlText w:val="(%1)"/>
      <w:numFmt w:val="decimal"/>
      <w:start w:val="2"/>
    </w:lvl>
    <w:lvl w:ilvl="1">
      <w:lvlJc w:val="left"/>
      <w:lvlText w:val="(%2)"/>
      <w:numFmt w:val="lowerRoman"/>
      <w:start w:val="1"/>
    </w:lvl>
  </w:abstractNum>
  <w:abstractNum w:abstractNumId="57">
    <w:nsid w:val="100F8FCA"/>
    <w:multiLevelType w:val="hybridMultilevel"/>
    <w:lvl w:ilvl="0">
      <w:lvlJc w:val="left"/>
      <w:lvlText w:val="(%1)"/>
      <w:numFmt w:val="lowerRoman"/>
      <w:start w:val="2"/>
    </w:lvl>
  </w:abstractNum>
  <w:abstractNum w:abstractNumId="58">
    <w:nsid w:val="6590700B"/>
    <w:multiLevelType w:val="hybridMultilevel"/>
    <w:lvl w:ilvl="0">
      <w:lvlJc w:val="left"/>
      <w:lvlText w:val="(%1)"/>
      <w:numFmt w:val="decimal"/>
      <w:start w:val="2"/>
    </w:lvl>
    <w:lvl w:ilvl="1">
      <w:lvlJc w:val="left"/>
      <w:lvlText w:val="*"/>
      <w:numFmt w:val="bullet"/>
      <w:start w:val="1"/>
    </w:lvl>
  </w:abstractNum>
  <w:abstractNum w:abstractNumId="59">
    <w:nsid w:val="15014ACB"/>
    <w:multiLevelType w:val="hybridMultilevel"/>
    <w:lvl w:ilvl="0">
      <w:lvlJc w:val="left"/>
      <w:lvlText w:val="(%1)"/>
      <w:numFmt w:val="decimal"/>
      <w:start w:val="1"/>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1)"/>
      <w:numFmt w:val="decimal"/>
      <w:start w:val="1"/>
    </w:lvl>
  </w:abstractNum>
  <w:abstractNum w:abstractNumId="62">
    <w:nsid w:val="799D0247"/>
    <w:multiLevelType w:val="hybridMultilevel"/>
    <w:lvl w:ilvl="0">
      <w:lvlJc w:val="left"/>
      <w:lvlText w:val="●"/>
      <w:numFmt w:val="bullet"/>
      <w:start w:val="1"/>
    </w:lvl>
  </w:abstractNum>
  <w:abstractNum w:abstractNumId="63">
    <w:nsid w:val="6B94764"/>
    <w:multiLevelType w:val="hybridMultilevel"/>
    <w:lvl w:ilvl="0">
      <w:lvlJc w:val="left"/>
      <w:lvlText w:val="(%1)"/>
      <w:numFmt w:val="decimal"/>
      <w:start w:val="1"/>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
      <w:numFmt w:val="bullet"/>
      <w:start w:val="1"/>
    </w:lvl>
  </w:abstractNum>
  <w:abstractNum w:abstractNumId="66">
    <w:nsid w:val="1EBA5D23"/>
    <w:multiLevelType w:val="hybridMultilevel"/>
    <w:lvl w:ilvl="0">
      <w:lvlJc w:val="left"/>
      <w:lvlText w:val="●"/>
      <w:numFmt w:val="bullet"/>
      <w:start w:val="1"/>
    </w:lvl>
  </w:abstractNum>
  <w:abstractNum w:abstractNumId="67">
    <w:nsid w:val="661E3F1E"/>
    <w:multiLevelType w:val="hybridMultilevel"/>
    <w:lvl w:ilvl="0">
      <w:lvlJc w:val="left"/>
      <w:lvlText w:val="(%1)"/>
      <w:numFmt w:val="decimal"/>
      <w:start w:val="1"/>
    </w:lvl>
  </w:abstractNum>
  <w:abstractNum w:abstractNumId="68">
    <w:nsid w:val="5DC79EA8"/>
    <w:multiLevelType w:val="hybridMultilevel"/>
    <w:lvl w:ilvl="0">
      <w:lvlJc w:val="left"/>
      <w:lvlText w:val="●"/>
      <w:numFmt w:val="bullet"/>
      <w:start w:val="1"/>
    </w:lvl>
  </w:abstractNum>
  <w:abstractNum w:abstractNumId="69">
    <w:nsid w:val="540A471C"/>
    <w:multiLevelType w:val="hybridMultilevel"/>
    <w:lvl w:ilvl="0">
      <w:lvlJc w:val="left"/>
      <w:lvlText w:val="●"/>
      <w:numFmt w:val="bullet"/>
      <w:start w:val="1"/>
    </w:lvl>
  </w:abstractNum>
  <w:abstractNum w:abstractNumId="70">
    <w:nsid w:val="7BD3EE7B"/>
    <w:multiLevelType w:val="hybridMultilevel"/>
    <w:lvl w:ilvl="0">
      <w:lvlJc w:val="left"/>
      <w:lvlText w:val="●"/>
      <w:numFmt w:val="bullet"/>
      <w:start w:val="1"/>
    </w:lvl>
  </w:abstractNum>
  <w:abstractNum w:abstractNumId="71">
    <w:nsid w:val="51D9C564"/>
    <w:multiLevelType w:val="hybridMultilevel"/>
    <w:lvl w:ilvl="0">
      <w:lvlJc w:val="left"/>
      <w:lvlText w:val="(%1)"/>
      <w:numFmt w:val="decimal"/>
      <w:start w:val="1"/>
    </w:lvl>
  </w:abstractNum>
  <w:abstractNum w:abstractNumId="72">
    <w:nsid w:val="613EFDC5"/>
    <w:multiLevelType w:val="hybridMultilevel"/>
    <w:lvl w:ilvl="0">
      <w:lvlJc w:val="left"/>
      <w:lvlText w:val="●"/>
      <w:numFmt w:val="bullet"/>
      <w:start w:val="1"/>
    </w:lvl>
  </w:abstractNum>
  <w:abstractNum w:abstractNumId="73">
    <w:nsid w:val="BF72B14"/>
    <w:multiLevelType w:val="hybridMultilevel"/>
    <w:lvl w:ilvl="0">
      <w:lvlJc w:val="left"/>
      <w:lvlText w:val="3"/>
      <w:numFmt w:val="bullet"/>
      <w:start w:val="1"/>
    </w:lvl>
  </w:abstractNum>
  <w:abstractNum w:abstractNumId="74">
    <w:nsid w:val="11447B73"/>
    <w:multiLevelType w:val="hybridMultilevel"/>
    <w:lvl w:ilvl="0">
      <w:lvlJc w:val="left"/>
      <w:lvlText w:val="(%1)"/>
      <w:numFmt w:val="decimal"/>
      <w:start w:val="1"/>
    </w:lvl>
  </w:abstractNum>
  <w:abstractNum w:abstractNumId="75">
    <w:nsid w:val="42963E5A"/>
    <w:multiLevelType w:val="hybridMultilevel"/>
    <w:lvl w:ilvl="0">
      <w:lvlJc w:val="left"/>
      <w:lvlText w:val="(%1)"/>
      <w:numFmt w:val="decimal"/>
      <w:start w:val="1"/>
    </w:lvl>
  </w:abstractNum>
  <w:abstractNum w:abstractNumId="76">
    <w:nsid w:val="A0382C5"/>
    <w:multiLevelType w:val="hybridMultilevel"/>
    <w:lvl w:ilvl="0">
      <w:lvlJc w:val="left"/>
      <w:lvlText w:val="(%1)"/>
      <w:numFmt w:val="decimal"/>
      <w:start w:val="4"/>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jpeg"/><Relationship Id="rId365" Type="http://schemas.openxmlformats.org/officeDocument/2006/relationships/image" Target="media/image358.jpe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jpeg"/><Relationship Id="rId383" Type="http://schemas.openxmlformats.org/officeDocument/2006/relationships/image" Target="media/image376.jpeg"/><Relationship Id="rId384" Type="http://schemas.openxmlformats.org/officeDocument/2006/relationships/image" Target="media/image377.jpeg"/><Relationship Id="rId385" Type="http://schemas.openxmlformats.org/officeDocument/2006/relationships/image" Target="media/image378.jpeg"/><Relationship Id="rId386" Type="http://schemas.openxmlformats.org/officeDocument/2006/relationships/image" Target="media/image379.jpe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jpeg"/><Relationship Id="rId414" Type="http://schemas.openxmlformats.org/officeDocument/2006/relationships/image" Target="media/image407.jpe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jpeg"/><Relationship Id="rId450" Type="http://schemas.openxmlformats.org/officeDocument/2006/relationships/image" Target="media/image443.png"/><Relationship Id="rId451" Type="http://schemas.openxmlformats.org/officeDocument/2006/relationships/image" Target="media/image444.jpeg"/><Relationship Id="rId452" Type="http://schemas.openxmlformats.org/officeDocument/2006/relationships/image" Target="media/image445.jpeg"/><Relationship Id="rId453" Type="http://schemas.openxmlformats.org/officeDocument/2006/relationships/image" Target="media/image446.jpeg"/><Relationship Id="rId454" Type="http://schemas.openxmlformats.org/officeDocument/2006/relationships/image" Target="media/image447.jpeg"/><Relationship Id="rId455" Type="http://schemas.openxmlformats.org/officeDocument/2006/relationships/image" Target="media/image448.jpeg"/><Relationship Id="rId456" Type="http://schemas.openxmlformats.org/officeDocument/2006/relationships/image" Target="media/image449.jpeg"/><Relationship Id="rId457" Type="http://schemas.openxmlformats.org/officeDocument/2006/relationships/image" Target="media/image450.jpe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jpe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jpe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jpeg"/><Relationship Id="rId473" Type="http://schemas.openxmlformats.org/officeDocument/2006/relationships/image" Target="media/image466.png"/><Relationship Id="rId474" Type="http://schemas.openxmlformats.org/officeDocument/2006/relationships/image" Target="media/image467.jpeg"/><Relationship Id="rId475" Type="http://schemas.openxmlformats.org/officeDocument/2006/relationships/image" Target="media/image468.png"/><Relationship Id="rId476" Type="http://schemas.openxmlformats.org/officeDocument/2006/relationships/image" Target="media/image469.jpe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jpe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jpe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jpe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jpeg"/><Relationship Id="rId514" Type="http://schemas.openxmlformats.org/officeDocument/2006/relationships/image" Target="media/image507.jpeg"/><Relationship Id="rId515" Type="http://schemas.openxmlformats.org/officeDocument/2006/relationships/image" Target="media/image508.jpeg"/><Relationship Id="rId516" Type="http://schemas.openxmlformats.org/officeDocument/2006/relationships/image" Target="media/image509.jpeg"/><Relationship Id="rId517" Type="http://schemas.openxmlformats.org/officeDocument/2006/relationships/image" Target="media/image510.jpeg"/><Relationship Id="rId518" Type="http://schemas.openxmlformats.org/officeDocument/2006/relationships/image" Target="media/image511.jpeg"/><Relationship Id="rId519" Type="http://schemas.openxmlformats.org/officeDocument/2006/relationships/image" Target="media/image512.jpeg"/><Relationship Id="rId520" Type="http://schemas.openxmlformats.org/officeDocument/2006/relationships/image" Target="media/image513.png"/><Relationship Id="rId521" Type="http://schemas.openxmlformats.org/officeDocument/2006/relationships/image" Target="media/image514.jpeg"/><Relationship Id="rId522" Type="http://schemas.openxmlformats.org/officeDocument/2006/relationships/image" Target="media/image515.png"/><Relationship Id="rId523" Type="http://schemas.openxmlformats.org/officeDocument/2006/relationships/image" Target="media/image516.jpeg"/><Relationship Id="rId524" Type="http://schemas.openxmlformats.org/officeDocument/2006/relationships/image" Target="media/image517.jpeg"/><Relationship Id="rId525" Type="http://schemas.openxmlformats.org/officeDocument/2006/relationships/image" Target="media/image518.jpe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jpe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jpeg"/><Relationship Id="rId546" Type="http://schemas.openxmlformats.org/officeDocument/2006/relationships/image" Target="media/image539.jpeg"/><Relationship Id="rId547" Type="http://schemas.openxmlformats.org/officeDocument/2006/relationships/image" Target="media/image540.jpeg"/><Relationship Id="rId548" Type="http://schemas.openxmlformats.org/officeDocument/2006/relationships/image" Target="media/image541.jpeg"/><Relationship Id="rId549" Type="http://schemas.openxmlformats.org/officeDocument/2006/relationships/image" Target="media/image542.jpeg"/><Relationship Id="rId550" Type="http://schemas.openxmlformats.org/officeDocument/2006/relationships/image" Target="media/image543.jpeg"/><Relationship Id="rId551" Type="http://schemas.openxmlformats.org/officeDocument/2006/relationships/image" Target="media/image544.jpeg"/><Relationship Id="rId552" Type="http://schemas.openxmlformats.org/officeDocument/2006/relationships/image" Target="media/image545.jpeg"/><Relationship Id="rId553" Type="http://schemas.openxmlformats.org/officeDocument/2006/relationships/image" Target="media/image546.jpeg"/><Relationship Id="rId554" Type="http://schemas.openxmlformats.org/officeDocument/2006/relationships/image" Target="media/image547.jpeg"/><Relationship Id="rId555" Type="http://schemas.openxmlformats.org/officeDocument/2006/relationships/image" Target="media/image548.png"/><Relationship Id="rId556" Type="http://schemas.openxmlformats.org/officeDocument/2006/relationships/image" Target="media/image549.jpe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jpe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jpeg"/><Relationship Id="rId963" Type="http://schemas.openxmlformats.org/officeDocument/2006/relationships/image" Target="media/image956.png"/><Relationship Id="rId964" Type="http://schemas.openxmlformats.org/officeDocument/2006/relationships/image" Target="media/image957.jpe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jpe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jpeg"/><Relationship Id="rId977" Type="http://schemas.openxmlformats.org/officeDocument/2006/relationships/image" Target="media/image970.jpe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jpe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jpe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jpe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jpeg"/><Relationship Id="rId1786" Type="http://schemas.openxmlformats.org/officeDocument/2006/relationships/image" Target="media/image1779.png"/><Relationship Id="rId1787" Type="http://schemas.openxmlformats.org/officeDocument/2006/relationships/image" Target="media/image1780.jpe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jpe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jpe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jpe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jpe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jpe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jpe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jpe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jpe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jpe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jpeg"/><Relationship Id="rId1846" Type="http://schemas.openxmlformats.org/officeDocument/2006/relationships/image" Target="media/image1839.jpeg"/><Relationship Id="rId1847" Type="http://schemas.openxmlformats.org/officeDocument/2006/relationships/image" Target="media/image1840.jpeg"/><Relationship Id="rId1848" Type="http://schemas.openxmlformats.org/officeDocument/2006/relationships/image" Target="media/image1841.jpeg"/><Relationship Id="rId1849" Type="http://schemas.openxmlformats.org/officeDocument/2006/relationships/image" Target="media/image1842.jpeg"/><Relationship Id="rId1850" Type="http://schemas.openxmlformats.org/officeDocument/2006/relationships/image" Target="media/image1843.jpeg"/><Relationship Id="rId1851" Type="http://schemas.openxmlformats.org/officeDocument/2006/relationships/image" Target="media/image1844.jpeg"/><Relationship Id="rId1852" Type="http://schemas.openxmlformats.org/officeDocument/2006/relationships/image" Target="media/image1845.jpeg"/><Relationship Id="rId1853" Type="http://schemas.openxmlformats.org/officeDocument/2006/relationships/image" Target="media/image1846.jpeg"/><Relationship Id="rId1854" Type="http://schemas.openxmlformats.org/officeDocument/2006/relationships/image" Target="media/image1847.jpeg"/><Relationship Id="rId1855" Type="http://schemas.openxmlformats.org/officeDocument/2006/relationships/image" Target="media/image1848.jpeg"/><Relationship Id="rId1856" Type="http://schemas.openxmlformats.org/officeDocument/2006/relationships/image" Target="media/image1849.png"/><Relationship Id="rId1857" Type="http://schemas.openxmlformats.org/officeDocument/2006/relationships/image" Target="media/image1850.jpeg"/><Relationship Id="rId1858" Type="http://schemas.openxmlformats.org/officeDocument/2006/relationships/image" Target="media/image1851.jpeg"/><Relationship Id="rId1859" Type="http://schemas.openxmlformats.org/officeDocument/2006/relationships/image" Target="media/image1852.jpeg"/><Relationship Id="rId1860" Type="http://schemas.openxmlformats.org/officeDocument/2006/relationships/image" Target="media/image1853.jpeg"/><Relationship Id="rId1861" Type="http://schemas.openxmlformats.org/officeDocument/2006/relationships/image" Target="media/image1854.jpeg"/><Relationship Id="rId1862" Type="http://schemas.openxmlformats.org/officeDocument/2006/relationships/image" Target="media/image1855.jpeg"/><Relationship Id="rId1863" Type="http://schemas.openxmlformats.org/officeDocument/2006/relationships/image" Target="media/image1856.jpeg"/><Relationship Id="rId1864" Type="http://schemas.openxmlformats.org/officeDocument/2006/relationships/image" Target="media/image1857.jpeg"/><Relationship Id="rId1865" Type="http://schemas.openxmlformats.org/officeDocument/2006/relationships/image" Target="media/image1858.jpeg"/><Relationship Id="rId1866" Type="http://schemas.openxmlformats.org/officeDocument/2006/relationships/image" Target="media/image1859.jpeg"/><Relationship Id="rId1867" Type="http://schemas.openxmlformats.org/officeDocument/2006/relationships/image" Target="media/image1860.jpeg"/><Relationship Id="rId1868" Type="http://schemas.openxmlformats.org/officeDocument/2006/relationships/image" Target="media/image1861.png"/><Relationship Id="rId1869" Type="http://schemas.openxmlformats.org/officeDocument/2006/relationships/image" Target="media/image1862.jpeg"/><Relationship Id="rId1870" Type="http://schemas.openxmlformats.org/officeDocument/2006/relationships/image" Target="media/image1863.jpeg"/><Relationship Id="rId1871" Type="http://schemas.openxmlformats.org/officeDocument/2006/relationships/image" Target="media/image1864.jpeg"/><Relationship Id="rId1872" Type="http://schemas.openxmlformats.org/officeDocument/2006/relationships/image" Target="media/image1865.jpeg"/><Relationship Id="rId1873" Type="http://schemas.openxmlformats.org/officeDocument/2006/relationships/image" Target="media/image1866.jpeg"/><Relationship Id="rId1874" Type="http://schemas.openxmlformats.org/officeDocument/2006/relationships/image" Target="media/image1867.jpeg"/><Relationship Id="rId1875" Type="http://schemas.openxmlformats.org/officeDocument/2006/relationships/image" Target="media/image1868.jpeg"/><Relationship Id="rId1876" Type="http://schemas.openxmlformats.org/officeDocument/2006/relationships/image" Target="media/image1869.jpeg"/><Relationship Id="rId1877" Type="http://schemas.openxmlformats.org/officeDocument/2006/relationships/image" Target="media/image1870.jpeg"/><Relationship Id="rId1878" Type="http://schemas.openxmlformats.org/officeDocument/2006/relationships/image" Target="media/image1871.png"/><Relationship Id="rId1879" Type="http://schemas.openxmlformats.org/officeDocument/2006/relationships/image" Target="media/image1872.jpeg"/><Relationship Id="rId1880" Type="http://schemas.openxmlformats.org/officeDocument/2006/relationships/image" Target="media/image1873.jpeg"/><Relationship Id="rId1881" Type="http://schemas.openxmlformats.org/officeDocument/2006/relationships/image" Target="media/image1874.jpeg"/><Relationship Id="rId1882" Type="http://schemas.openxmlformats.org/officeDocument/2006/relationships/image" Target="media/image1875.jpeg"/><Relationship Id="rId1883" Type="http://schemas.openxmlformats.org/officeDocument/2006/relationships/image" Target="media/image1876.jpeg"/><Relationship Id="rId1884" Type="http://schemas.openxmlformats.org/officeDocument/2006/relationships/image" Target="media/image1877.jpeg"/><Relationship Id="rId1885" Type="http://schemas.openxmlformats.org/officeDocument/2006/relationships/image" Target="media/image1878.png"/><Relationship Id="rId1886" Type="http://schemas.openxmlformats.org/officeDocument/2006/relationships/image" Target="media/image1879.jpeg"/><Relationship Id="rId1887" Type="http://schemas.openxmlformats.org/officeDocument/2006/relationships/image" Target="media/image1880.jpeg"/><Relationship Id="rId1888" Type="http://schemas.openxmlformats.org/officeDocument/2006/relationships/image" Target="media/image1881.jpe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jpe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jpeg"/><Relationship Id="rId1900" Type="http://schemas.openxmlformats.org/officeDocument/2006/relationships/image" Target="media/image1893.jpe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2021-12-15T05:16:02Z</dcterms:created>
  <dcterms:modified xsi:type="dcterms:W3CDTF">2021-12-15T05:16:02Z</dcterms:modified>
</cp:coreProperties>
</file>