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149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14909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Smith Wayne Thomas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1940 AIR PRODUCTS BLVD.</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Air Products &amp; Chemicals,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APD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200" w:space="720"/>
            <w:col w:w="3180" w:space="644"/>
            <w:col w:w="3336"/>
          </w:cols>
          <w:pgMar w:left="460" w:top="216" w:right="359" w:bottom="144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ALLENTOWN</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PA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18106-5500</w:t>
            </w:r>
          </w:p>
        </w:tc>
      </w:tr>
      <w:tr>
        <w:trPr>
          <w:trHeight w:val="146"/>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4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520" w:type="dxa"/>
            <w:vAlign w:val="bottom"/>
            <w:vMerge w:val="restart"/>
          </w:tcPr>
          <w:p>
            <w:pPr>
              <w:ind w:left="120"/>
              <w:spacing w:after="0"/>
              <w:rPr>
                <w:sz w:val="20"/>
                <w:szCs w:val="20"/>
                <w:color w:val="auto"/>
              </w:rPr>
            </w:pPr>
            <w:r>
              <w:rPr>
                <w:rFonts w:ascii="Arial" w:cs="Arial" w:eastAsia="Arial" w:hAnsi="Arial"/>
                <w:sz w:val="11"/>
                <w:szCs w:val="11"/>
                <w:color w:val="auto"/>
                <w:w w:val="97"/>
              </w:rPr>
              <w:t>$</w:t>
            </w:r>
            <w:r>
              <w:rPr>
                <w:rFonts w:ascii="Times New Roman" w:cs="Times New Roman" w:eastAsia="Times New Roman" w:hAnsi="Times New Roman"/>
                <w:sz w:val="12"/>
                <w:szCs w:val="12"/>
                <w:color w:val="0000FF"/>
                <w:w w:val="97"/>
              </w:rPr>
              <w:t>0.0000</w:t>
            </w:r>
          </w:p>
        </w:tc>
        <w:tc>
          <w:tcPr>
            <w:tcW w:w="240" w:type="dxa"/>
            <w:vAlign w:val="bottom"/>
            <w:vMerge w:val="restart"/>
          </w:tcPr>
          <w:p>
            <w:pPr>
              <w:jc w:val="right"/>
              <w:ind w:right="47"/>
              <w:spacing w:after="0"/>
              <w:rPr>
                <w:sz w:val="20"/>
                <w:szCs w:val="20"/>
                <w:color w:val="auto"/>
              </w:rPr>
            </w:pPr>
            <w:r>
              <w:rPr>
                <w:rFonts w:ascii="Times New Roman" w:cs="Times New Roman" w:eastAsia="Times New Roman" w:hAnsi="Times New Roman"/>
                <w:sz w:val="11"/>
                <w:szCs w:val="11"/>
                <w:color w:val="008000"/>
                <w:w w:val="93"/>
              </w:rPr>
              <w:t>(2)</w:t>
            </w:r>
          </w:p>
        </w:tc>
        <w:tc>
          <w:tcPr>
            <w:tcW w:w="108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06/30/2026</w:t>
            </w:r>
          </w:p>
        </w:tc>
        <w:tc>
          <w:tcPr>
            <w:tcW w:w="106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34.5733</w:t>
            </w: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34.5733</w:t>
            </w:r>
          </w:p>
        </w:tc>
        <w:tc>
          <w:tcPr>
            <w:tcW w:w="68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271.35</w:t>
            </w:r>
          </w:p>
        </w:tc>
        <w:tc>
          <w:tcPr>
            <w:tcW w:w="9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5,217.706</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tcPr>
          <w:p>
            <w:pPr>
              <w:ind w:left="60"/>
              <w:spacing w:after="0" w:line="64" w:lineRule="exact"/>
              <w:rPr>
                <w:sz w:val="20"/>
                <w:szCs w:val="20"/>
                <w:color w:val="auto"/>
              </w:rPr>
            </w:pPr>
            <w:r>
              <w:rPr>
                <w:rFonts w:ascii="Times New Roman" w:cs="Times New Roman" w:eastAsia="Times New Roman" w:hAnsi="Times New Roman"/>
                <w:sz w:val="6"/>
                <w:szCs w:val="6"/>
                <w:color w:val="0000FF"/>
              </w:rPr>
              <w:t>Stock</w:t>
            </w:r>
            <w:r>
              <w:rPr>
                <w:rFonts w:ascii="Times New Roman" w:cs="Times New Roman" w:eastAsia="Times New Roman" w:hAnsi="Times New Roman"/>
                <w:sz w:val="7"/>
                <w:szCs w:val="7"/>
                <w:color w:val="008000"/>
                <w:vertAlign w:val="superscript"/>
              </w:rPr>
              <w:t>(1)</w:t>
            </w:r>
          </w:p>
        </w:tc>
        <w:tc>
          <w:tcPr>
            <w:tcW w:w="52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tcPr>
          <w:p>
            <w:pPr>
              <w:ind w:left="16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deferred stock units (Units) acquired under the Air Products Stock Account of the issuer's Deferred Compensation Program for Directors, under the Company's Long-Term Incentive Plan.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 to this security</w:t>
      </w:r>
    </w:p>
    <w:p>
      <w:pPr>
        <w:spacing w:after="0" w:line="41" w:lineRule="exact"/>
        <w:rPr>
          <w:rFonts w:ascii="Times New Roman" w:cs="Times New Roman" w:eastAsia="Times New Roman" w:hAnsi="Times New Roman"/>
          <w:sz w:val="13"/>
          <w:szCs w:val="13"/>
          <w:color w:val="008000"/>
        </w:rPr>
      </w:pPr>
    </w:p>
    <w:p>
      <w:pPr>
        <w:ind w:left="40" w:right="400"/>
        <w:spacing w:after="0" w:line="24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are payable in the form of shares of common stock equal in number to the Units, at the time elected by the reporting person, which is generally after service on the Company's Board of Directors ends. Units may be paid in a lump sum or up to ten installments as elected by the reporting person in advance.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Andrea I. Rennig as Attorney in </w:t>
      </w:r>
      <w:r>
        <w:rPr>
          <w:rFonts w:ascii="Times New Roman" w:cs="Times New Roman" w:eastAsia="Times New Roman" w:hAnsi="Times New Roman"/>
          <w:sz w:val="31"/>
          <w:szCs w:val="31"/>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48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76146" TargetMode="External"/><Relationship Id="rId14" Type="http://schemas.openxmlformats.org/officeDocument/2006/relationships/hyperlink" Target="http://www.sec.gov/cgi-bin/browse-edgar?action=getcompany&amp;CIK=00000029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2026-07-02T10:09:40Z</dcterms:created>
  <dcterms:modified xsi:type="dcterms:W3CDTF">2026-07-02T10:09:40Z</dcterms:modified>
</cp:coreProperties>
</file>