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4149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14909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CALAWAY TONIT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1940 AIR PRODUCTS BLVD.</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Air Products &amp; Chemicals,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APD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200" w:space="720"/>
            <w:col w:w="3180" w:space="644"/>
            <w:col w:w="3336"/>
          </w:cols>
          <w:pgMar w:left="460" w:top="216" w:right="359" w:bottom="1440" w:gutter="0" w:footer="0" w:header="0"/>
          <w:type w:val="continuous"/>
        </w:sectPr>
      </w:pPr>
    </w:p>
    <w:p>
      <w:pPr>
        <w:spacing w:after="0" w:line="230"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ALLENTOWN</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PA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18106-5500</w:t>
            </w:r>
          </w:p>
        </w:tc>
      </w:tr>
      <w:tr>
        <w:trPr>
          <w:trHeight w:val="146"/>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4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520" w:type="dxa"/>
            <w:vAlign w:val="bottom"/>
            <w:vMerge w:val="restart"/>
          </w:tcPr>
          <w:p>
            <w:pPr>
              <w:ind w:left="120"/>
              <w:spacing w:after="0"/>
              <w:rPr>
                <w:sz w:val="20"/>
                <w:szCs w:val="20"/>
                <w:color w:val="auto"/>
              </w:rPr>
            </w:pPr>
            <w:r>
              <w:rPr>
                <w:rFonts w:ascii="Arial" w:cs="Arial" w:eastAsia="Arial" w:hAnsi="Arial"/>
                <w:sz w:val="11"/>
                <w:szCs w:val="11"/>
                <w:color w:val="auto"/>
                <w:w w:val="97"/>
              </w:rPr>
              <w:t>$</w:t>
            </w:r>
            <w:r>
              <w:rPr>
                <w:rFonts w:ascii="Times New Roman" w:cs="Times New Roman" w:eastAsia="Times New Roman" w:hAnsi="Times New Roman"/>
                <w:sz w:val="12"/>
                <w:szCs w:val="12"/>
                <w:color w:val="0000FF"/>
                <w:w w:val="97"/>
              </w:rPr>
              <w:t>0.0000</w:t>
            </w:r>
          </w:p>
        </w:tc>
        <w:tc>
          <w:tcPr>
            <w:tcW w:w="240" w:type="dxa"/>
            <w:vAlign w:val="bottom"/>
            <w:vMerge w:val="restart"/>
          </w:tcPr>
          <w:p>
            <w:pPr>
              <w:jc w:val="right"/>
              <w:ind w:right="47"/>
              <w:spacing w:after="0"/>
              <w:rPr>
                <w:sz w:val="20"/>
                <w:szCs w:val="20"/>
                <w:color w:val="auto"/>
              </w:rPr>
            </w:pPr>
            <w:r>
              <w:rPr>
                <w:rFonts w:ascii="Times New Roman" w:cs="Times New Roman" w:eastAsia="Times New Roman" w:hAnsi="Times New Roman"/>
                <w:sz w:val="11"/>
                <w:szCs w:val="11"/>
                <w:color w:val="008000"/>
                <w:w w:val="93"/>
              </w:rPr>
              <w:t>(2)</w:t>
            </w:r>
          </w:p>
        </w:tc>
        <w:tc>
          <w:tcPr>
            <w:tcW w:w="1080" w:type="dxa"/>
            <w:vAlign w:val="bottom"/>
            <w:vMerge w:val="restart"/>
          </w:tcPr>
          <w:p>
            <w:pPr>
              <w:jc w:val="right"/>
              <w:ind w:right="181"/>
              <w:spacing w:after="0"/>
              <w:rPr>
                <w:sz w:val="20"/>
                <w:szCs w:val="20"/>
                <w:color w:val="auto"/>
              </w:rPr>
            </w:pPr>
            <w:r>
              <w:rPr>
                <w:rFonts w:ascii="Times New Roman" w:cs="Times New Roman" w:eastAsia="Times New Roman" w:hAnsi="Times New Roman"/>
                <w:sz w:val="13"/>
                <w:szCs w:val="13"/>
                <w:color w:val="0000FF"/>
              </w:rPr>
              <w:t>06/30/2026</w:t>
            </w:r>
          </w:p>
        </w:tc>
        <w:tc>
          <w:tcPr>
            <w:tcW w:w="106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20.6217</w:t>
            </w:r>
          </w:p>
        </w:tc>
        <w:tc>
          <w:tcPr>
            <w:tcW w:w="2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20.6217</w:t>
            </w:r>
          </w:p>
        </w:tc>
        <w:tc>
          <w:tcPr>
            <w:tcW w:w="680" w:type="dxa"/>
            <w:vAlign w:val="bottom"/>
            <w:vMerge w:val="restart"/>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271.35</w:t>
            </w:r>
          </w:p>
        </w:tc>
        <w:tc>
          <w:tcPr>
            <w:tcW w:w="9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3,112.1686</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tcPr>
          <w:p>
            <w:pPr>
              <w:ind w:left="60"/>
              <w:spacing w:after="0" w:line="64" w:lineRule="exact"/>
              <w:rPr>
                <w:sz w:val="20"/>
                <w:szCs w:val="20"/>
                <w:color w:val="auto"/>
              </w:rPr>
            </w:pPr>
            <w:r>
              <w:rPr>
                <w:rFonts w:ascii="Times New Roman" w:cs="Times New Roman" w:eastAsia="Times New Roman" w:hAnsi="Times New Roman"/>
                <w:sz w:val="6"/>
                <w:szCs w:val="6"/>
                <w:color w:val="0000FF"/>
              </w:rPr>
              <w:t>Stock</w:t>
            </w:r>
            <w:r>
              <w:rPr>
                <w:rFonts w:ascii="Times New Roman" w:cs="Times New Roman" w:eastAsia="Times New Roman" w:hAnsi="Times New Roman"/>
                <w:sz w:val="7"/>
                <w:szCs w:val="7"/>
                <w:color w:val="008000"/>
                <w:vertAlign w:val="superscript"/>
              </w:rPr>
              <w:t>(1)</w:t>
            </w:r>
          </w:p>
        </w:tc>
        <w:tc>
          <w:tcPr>
            <w:tcW w:w="52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tcPr>
          <w:p>
            <w:pPr>
              <w:ind w:left="160"/>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Phantom deferred stock units (Units) acquired under the Air Products Stock Account of the issuer's Deferred Compensation Program for Directors, under the Company's Long-Term Incentive Plan.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 to this security</w:t>
      </w:r>
    </w:p>
    <w:p>
      <w:pPr>
        <w:spacing w:after="0" w:line="41" w:lineRule="exact"/>
        <w:rPr>
          <w:rFonts w:ascii="Times New Roman" w:cs="Times New Roman" w:eastAsia="Times New Roman" w:hAnsi="Times New Roman"/>
          <w:sz w:val="13"/>
          <w:szCs w:val="13"/>
          <w:color w:val="008000"/>
        </w:rPr>
      </w:pPr>
    </w:p>
    <w:p>
      <w:pPr>
        <w:ind w:left="40" w:right="400"/>
        <w:spacing w:after="0" w:line="245"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are payable in the form of shares of common stock equal in number to the Units, at the time elected by the reporting person, which is generally after service on the Company's Board of Directors ends. Units may be paid in a lump sum or up to ten installments as elected by the reporting person in advance.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Andrea I. Rennig as Attorney in </w:t>
      </w:r>
      <w:r>
        <w:rPr>
          <w:rFonts w:ascii="Times New Roman" w:cs="Times New Roman" w:eastAsia="Times New Roman" w:hAnsi="Times New Roman"/>
          <w:sz w:val="31"/>
          <w:szCs w:val="31"/>
          <w:color w:val="0000FF"/>
          <w:vertAlign w:val="subscript"/>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487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80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83815" TargetMode="External"/><Relationship Id="rId14" Type="http://schemas.openxmlformats.org/officeDocument/2006/relationships/hyperlink" Target="http://www.sec.gov/cgi-bin/browse-edgar?action=getcompany&amp;CIK=00000029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2026-07-02T09:45:19Z</dcterms:created>
  <dcterms:modified xsi:type="dcterms:W3CDTF">2026-07-02T09:45:19Z</dcterms:modified>
</cp:coreProperties>
</file>